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5C140" w14:textId="7626EBCA" w:rsidR="0050476F" w:rsidRDefault="008B7D12" w:rsidP="00E24A0B">
      <w:pPr>
        <w:jc w:val="center"/>
        <w:rPr>
          <w:rtl/>
        </w:rPr>
      </w:pPr>
      <w:r w:rsidRPr="008B182E">
        <w:rPr>
          <w:rFonts w:ascii="Calibri" w:eastAsia="Calibri" w:hAnsi="Calibri" w:cs="Arial"/>
          <w:noProof/>
          <w:sz w:val="22"/>
          <w:szCs w:val="22"/>
          <w:lang w:eastAsia="en-US" w:bidi="ar-SA"/>
        </w:rPr>
        <w:drawing>
          <wp:inline distT="0" distB="0" distL="0" distR="0" wp14:anchorId="4E30A748" wp14:editId="3B8E5B95">
            <wp:extent cx="5271135" cy="965835"/>
            <wp:effectExtent l="0" t="0" r="0" b="5715"/>
            <wp:docPr id="1866070914"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210" r="-3380"/>
                    <a:stretch>
                      <a:fillRect/>
                    </a:stretch>
                  </pic:blipFill>
                  <pic:spPr bwMode="auto">
                    <a:xfrm>
                      <a:off x="0" y="0"/>
                      <a:ext cx="5275026" cy="966548"/>
                    </a:xfrm>
                    <a:prstGeom prst="rect">
                      <a:avLst/>
                    </a:prstGeom>
                    <a:noFill/>
                    <a:ln>
                      <a:noFill/>
                    </a:ln>
                    <a:extLst>
                      <a:ext uri="{53640926-AAD7-44D8-BBD7-CCE9431645EC}">
                        <a14:shadowObscured xmlns:a14="http://schemas.microsoft.com/office/drawing/2010/main"/>
                      </a:ext>
                    </a:extLst>
                  </pic:spPr>
                </pic:pic>
              </a:graphicData>
            </a:graphic>
          </wp:inline>
        </w:drawing>
      </w:r>
    </w:p>
    <w:p w14:paraId="5CE24FEB" w14:textId="138113F9" w:rsidR="008B7D12" w:rsidRPr="008B182E" w:rsidRDefault="008B7D12" w:rsidP="008B7D12">
      <w:pPr>
        <w:spacing w:line="360" w:lineRule="auto"/>
        <w:jc w:val="center"/>
        <w:rPr>
          <w:rFonts w:ascii="Times New Roman" w:hAnsi="Times New Roman" w:cs="Times New Roman"/>
          <w:b/>
          <w:bCs/>
          <w:noProof/>
          <w:sz w:val="52"/>
          <w:szCs w:val="36"/>
          <w:lang w:eastAsia="en-US" w:bidi="ar-SA"/>
        </w:rPr>
      </w:pPr>
      <w:bookmarkStart w:id="0" w:name="_Hlk166763827"/>
      <w:r w:rsidRPr="008B182E">
        <w:rPr>
          <w:rFonts w:ascii="Times New Roman" w:hAnsi="Times New Roman" w:cs="Times New Roman"/>
          <w:b/>
          <w:bCs/>
          <w:noProof/>
          <w:sz w:val="52"/>
          <w:szCs w:val="36"/>
          <w:rtl/>
          <w:lang w:eastAsia="en-US" w:bidi="ar-SA"/>
        </w:rPr>
        <w:t xml:space="preserve">جلسة </w:t>
      </w:r>
      <w:r w:rsidRPr="008B182E">
        <w:rPr>
          <w:rFonts w:ascii="Times New Roman" w:hAnsi="Times New Roman" w:cs="Times New Roman" w:hint="cs"/>
          <w:b/>
          <w:bCs/>
          <w:noProof/>
          <w:sz w:val="52"/>
          <w:szCs w:val="36"/>
          <w:rtl/>
          <w:lang w:eastAsia="en-US" w:bidi="ar-SA"/>
        </w:rPr>
        <w:t>الأربعاء</w:t>
      </w:r>
      <w:r w:rsidRPr="008B182E">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10</w:t>
      </w:r>
      <w:r w:rsidRPr="008B182E">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ديسمبر</w:t>
      </w:r>
      <w:r w:rsidRPr="008B182E">
        <w:rPr>
          <w:rFonts w:ascii="Times New Roman" w:hAnsi="Times New Roman" w:cs="Times New Roman"/>
          <w:b/>
          <w:bCs/>
          <w:noProof/>
          <w:sz w:val="52"/>
          <w:szCs w:val="36"/>
          <w:rtl/>
          <w:lang w:eastAsia="en-US" w:bidi="ar-SA"/>
        </w:rPr>
        <w:t xml:space="preserve"> سنة </w:t>
      </w:r>
      <w:r w:rsidRPr="008B182E">
        <w:rPr>
          <w:rFonts w:ascii="Times New Roman" w:hAnsi="Times New Roman" w:cs="Times New Roman" w:hint="cs"/>
          <w:b/>
          <w:bCs/>
          <w:noProof/>
          <w:sz w:val="52"/>
          <w:szCs w:val="36"/>
          <w:rtl/>
          <w:lang w:eastAsia="en-US" w:bidi="ar-SA"/>
        </w:rPr>
        <w:t>2025</w:t>
      </w:r>
    </w:p>
    <w:p w14:paraId="7120E4CD" w14:textId="77777777" w:rsidR="008B7D12" w:rsidRPr="008B182E" w:rsidRDefault="008B7D12" w:rsidP="008B7D12">
      <w:pPr>
        <w:spacing w:line="360" w:lineRule="auto"/>
        <w:jc w:val="center"/>
        <w:rPr>
          <w:rFonts w:ascii="Times New Roman" w:hAnsi="Times New Roman" w:cs="Times New Roman"/>
          <w:noProof/>
          <w:sz w:val="32"/>
          <w:lang w:eastAsia="en-US" w:bidi="ar-SA"/>
        </w:rPr>
      </w:pPr>
      <w:r w:rsidRPr="008B182E">
        <w:rPr>
          <w:rFonts w:ascii="Times New Roman" w:hAnsi="Times New Roman" w:cs="Times New Roman"/>
          <w:noProof/>
          <w:sz w:val="32"/>
          <w:rtl/>
          <w:lang w:eastAsia="en-US" w:bidi="ar-SA"/>
        </w:rPr>
        <w:t>برئاسة السيد القاضي / محمد عبد الرحمن الجراح "رئيس الدائرة"</w:t>
      </w:r>
    </w:p>
    <w:p w14:paraId="15F68509" w14:textId="77777777" w:rsidR="008B7D12" w:rsidRPr="008B182E" w:rsidRDefault="008B7D12" w:rsidP="008B7D12">
      <w:pPr>
        <w:spacing w:after="160" w:line="360" w:lineRule="auto"/>
        <w:jc w:val="center"/>
        <w:rPr>
          <w:rFonts w:ascii="Times New Roman" w:hAnsi="Times New Roman" w:cs="Times New Roman"/>
          <w:noProof/>
          <w:sz w:val="32"/>
          <w:lang w:eastAsia="en-US" w:bidi="ar-SA"/>
        </w:rPr>
      </w:pPr>
      <w:r w:rsidRPr="008B182E">
        <w:rPr>
          <w:rFonts w:ascii="Times New Roman" w:hAnsi="Times New Roman" w:cs="Times New Roman" w:hint="cs"/>
          <w:noProof/>
          <w:sz w:val="32"/>
          <w:rtl/>
          <w:lang w:eastAsia="en-US" w:bidi="ar-SA"/>
        </w:rPr>
        <w:t>وعضوية السادة القضاة / داود إبراهيم أبو الشوارب ود. حسن محمد حسن هند.</w:t>
      </w:r>
    </w:p>
    <w:p w14:paraId="2D5A67CA" w14:textId="77777777" w:rsidR="008B7D12" w:rsidRPr="008B182E" w:rsidRDefault="008B7D12" w:rsidP="008B7D12">
      <w:pPr>
        <w:tabs>
          <w:tab w:val="left" w:pos="5300"/>
        </w:tabs>
        <w:spacing w:line="360" w:lineRule="auto"/>
        <w:jc w:val="center"/>
        <w:rPr>
          <w:rFonts w:ascii="Times New Roman" w:hAnsi="Times New Roman" w:cs="Times New Roman"/>
          <w:b/>
          <w:bCs/>
          <w:noProof/>
          <w:sz w:val="36"/>
          <w:szCs w:val="36"/>
          <w:lang w:eastAsia="en-US" w:bidi="ar-SA"/>
        </w:rPr>
      </w:pPr>
      <w:r w:rsidRPr="008B182E">
        <w:rPr>
          <w:rFonts w:ascii="Times New Roman" w:hAnsi="Times New Roman" w:cs="Times New Roman"/>
          <w:b/>
          <w:bCs/>
          <w:noProof/>
          <w:sz w:val="36"/>
          <w:szCs w:val="36"/>
          <w:rtl/>
          <w:lang w:eastAsia="en-US" w:bidi="ar-SA"/>
        </w:rPr>
        <w:t xml:space="preserve"> (    )</w:t>
      </w:r>
    </w:p>
    <w:p w14:paraId="004C68BC" w14:textId="431C9078" w:rsidR="008B7D12" w:rsidRPr="008B182E" w:rsidRDefault="008B7D12" w:rsidP="008B7D12">
      <w:pPr>
        <w:spacing w:line="360" w:lineRule="auto"/>
        <w:jc w:val="center"/>
        <w:rPr>
          <w:rFonts w:ascii="Times New Roman" w:hAnsi="Times New Roman" w:cs="Times New Roman"/>
          <w:b/>
          <w:bCs/>
          <w:noProof/>
          <w:sz w:val="36"/>
          <w:szCs w:val="36"/>
          <w:lang w:eastAsia="en-US" w:bidi="ar-SA"/>
        </w:rPr>
      </w:pPr>
      <w:r w:rsidRPr="008B182E">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849</w:t>
      </w:r>
      <w:r w:rsidRPr="008B182E">
        <w:rPr>
          <w:rFonts w:ascii="Times New Roman" w:hAnsi="Times New Roman" w:cs="Times New Roman"/>
          <w:b/>
          <w:bCs/>
          <w:noProof/>
          <w:sz w:val="36"/>
          <w:szCs w:val="36"/>
          <w:rtl/>
          <w:lang w:eastAsia="en-US" w:bidi="ar-SA"/>
        </w:rPr>
        <w:t xml:space="preserve"> لسنة </w:t>
      </w:r>
      <w:r w:rsidRPr="008B182E">
        <w:rPr>
          <w:rFonts w:ascii="Times New Roman" w:hAnsi="Times New Roman" w:cs="Times New Roman" w:hint="cs"/>
          <w:b/>
          <w:bCs/>
          <w:noProof/>
          <w:sz w:val="36"/>
          <w:szCs w:val="36"/>
          <w:rtl/>
          <w:lang w:eastAsia="en-US" w:bidi="ar-SA"/>
        </w:rPr>
        <w:t>2025</w:t>
      </w:r>
      <w:r w:rsidRPr="008B182E">
        <w:rPr>
          <w:rFonts w:ascii="Times New Roman" w:hAnsi="Times New Roman" w:cs="Times New Roman"/>
          <w:b/>
          <w:bCs/>
          <w:noProof/>
          <w:sz w:val="36"/>
          <w:szCs w:val="36"/>
          <w:rtl/>
          <w:lang w:eastAsia="en-US" w:bidi="ar-SA"/>
        </w:rPr>
        <w:t xml:space="preserve"> إداري</w:t>
      </w:r>
    </w:p>
    <w:p w14:paraId="0E5A9831" w14:textId="0A967CD1" w:rsidR="008B7D12" w:rsidRPr="008B182E" w:rsidRDefault="005C6E3B" w:rsidP="0097244C">
      <w:pPr>
        <w:tabs>
          <w:tab w:val="left" w:pos="3221"/>
        </w:tabs>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006908D4">
        <w:rPr>
          <w:rFonts w:ascii="Times New Roman" w:hAnsi="Times New Roman" w:cs="Times New Roman" w:hint="cs"/>
          <w:b/>
          <w:bCs/>
          <w:sz w:val="28"/>
          <w:szCs w:val="28"/>
          <w:rtl/>
        </w:rPr>
        <w:t>8</w:t>
      </w:r>
      <w:r>
        <w:rPr>
          <w:rFonts w:ascii="Times New Roman" w:hAnsi="Times New Roman" w:cs="Times New Roman" w:hint="cs"/>
          <w:b/>
          <w:bCs/>
          <w:sz w:val="28"/>
          <w:szCs w:val="28"/>
          <w:rtl/>
        </w:rPr>
        <w:t>) موارد بشرية "</w:t>
      </w:r>
      <w:r w:rsidR="00EC0684">
        <w:rPr>
          <w:rFonts w:ascii="Times New Roman" w:hAnsi="Times New Roman" w:cs="Times New Roman" w:hint="cs"/>
          <w:b/>
          <w:bCs/>
          <w:sz w:val="28"/>
          <w:szCs w:val="28"/>
          <w:rtl/>
        </w:rPr>
        <w:t>نطاق تطبيق القانون" "</w:t>
      </w:r>
      <w:r w:rsidR="0097244C">
        <w:rPr>
          <w:rFonts w:ascii="Times New Roman" w:hAnsi="Times New Roman" w:cs="Times New Roman" w:hint="cs"/>
          <w:b/>
          <w:bCs/>
          <w:sz w:val="28"/>
          <w:szCs w:val="28"/>
          <w:rtl/>
        </w:rPr>
        <w:t>التظلمات: لجنة التظلمات ولجنة الاعتراضات</w:t>
      </w:r>
      <w:r w:rsidR="00207BAE">
        <w:rPr>
          <w:rFonts w:ascii="Times New Roman" w:hAnsi="Times New Roman" w:cs="Times New Roman" w:hint="cs"/>
          <w:b/>
          <w:bCs/>
          <w:sz w:val="28"/>
          <w:szCs w:val="28"/>
          <w:rtl/>
        </w:rPr>
        <w:t xml:space="preserve"> المشكلتين في الجهة الإتحادية وعلى مستوى الحكومة الاتحادية</w:t>
      </w:r>
      <w:r w:rsidR="0097244C">
        <w:rPr>
          <w:rFonts w:ascii="Times New Roman" w:hAnsi="Times New Roman" w:cs="Times New Roman" w:hint="cs"/>
          <w:b/>
          <w:bCs/>
          <w:sz w:val="28"/>
          <w:szCs w:val="28"/>
          <w:rtl/>
        </w:rPr>
        <w:t xml:space="preserve">: اللجوء </w:t>
      </w:r>
      <w:r w:rsidR="00E35032">
        <w:rPr>
          <w:rFonts w:ascii="Times New Roman" w:hAnsi="Times New Roman" w:cs="Times New Roman" w:hint="cs"/>
          <w:b/>
          <w:bCs/>
          <w:sz w:val="28"/>
          <w:szCs w:val="28"/>
          <w:rtl/>
        </w:rPr>
        <w:t>إليهما</w:t>
      </w:r>
      <w:r w:rsidR="0097244C">
        <w:rPr>
          <w:rFonts w:ascii="Times New Roman" w:hAnsi="Times New Roman" w:cs="Times New Roman" w:hint="cs"/>
          <w:b/>
          <w:bCs/>
          <w:sz w:val="28"/>
          <w:szCs w:val="28"/>
          <w:rtl/>
        </w:rPr>
        <w:t xml:space="preserve"> شرط لقبول الدعوى أمام القضاء".</w:t>
      </w:r>
      <w:r w:rsidR="006908D4">
        <w:rPr>
          <w:rFonts w:ascii="Times New Roman" w:hAnsi="Times New Roman" w:cs="Times New Roman" w:hint="cs"/>
          <w:b/>
          <w:bCs/>
          <w:sz w:val="28"/>
          <w:szCs w:val="28"/>
          <w:rtl/>
        </w:rPr>
        <w:t xml:space="preserve"> حكم "تسبيب الحكم: القصور في التسبيب".</w:t>
      </w:r>
      <w:r w:rsidR="00E35032">
        <w:rPr>
          <w:rFonts w:ascii="Times New Roman" w:hAnsi="Times New Roman" w:cs="Times New Roman" w:hint="cs"/>
          <w:b/>
          <w:bCs/>
          <w:sz w:val="28"/>
          <w:szCs w:val="28"/>
          <w:rtl/>
        </w:rPr>
        <w:t xml:space="preserve"> الدفاع "الدفاع الجوهري".</w:t>
      </w:r>
    </w:p>
    <w:p w14:paraId="448D4381" w14:textId="22993998" w:rsidR="008B7D12" w:rsidRDefault="005C6E3B" w:rsidP="002174D8">
      <w:pPr>
        <w:tabs>
          <w:tab w:val="left" w:pos="3221"/>
        </w:tabs>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 xml:space="preserve">(1) قانون الموارد البشرية يطبق على جميع الموظفين المدنيين في الجهات الإتحادية </w:t>
      </w:r>
      <w:r w:rsidR="002174D8">
        <w:rPr>
          <w:rFonts w:ascii="Times New Roman" w:hAnsi="Times New Roman" w:cs="Times New Roman" w:hint="cs"/>
          <w:sz w:val="28"/>
          <w:szCs w:val="28"/>
          <w:rtl/>
        </w:rPr>
        <w:t>حتى تلك التي تمتلك لوائح موارد بشرية مستقلة. الاستثناء. الجهات المستثناة بقرار من مجلس الوزراء يحدد الالتزامات البديلة. الجهات المستثناة. ملزمة بتوفير بيانات موظفيها المتضمنة الأجور والرواتب وإجراءات الموارد البشرية بشكل آني من خلال الربط مع الأنظمة المعتمدة لدى الهيئة</w:t>
      </w:r>
      <w:r w:rsidR="00EC0684">
        <w:rPr>
          <w:rFonts w:ascii="Times New Roman" w:hAnsi="Times New Roman" w:cs="Times New Roman" w:hint="cs"/>
          <w:sz w:val="28"/>
          <w:szCs w:val="28"/>
          <w:rtl/>
        </w:rPr>
        <w:t xml:space="preserve"> الاتحادية للموارد البشرية الحكومية</w:t>
      </w:r>
      <w:r w:rsidR="002174D8">
        <w:rPr>
          <w:rFonts w:ascii="Times New Roman" w:hAnsi="Times New Roman" w:cs="Times New Roman" w:hint="cs"/>
          <w:sz w:val="28"/>
          <w:szCs w:val="28"/>
          <w:rtl/>
        </w:rPr>
        <w:t xml:space="preserve">. أساس ذلك. م 2 </w:t>
      </w:r>
      <w:r w:rsidR="00EC0684">
        <w:rPr>
          <w:rFonts w:ascii="Times New Roman" w:hAnsi="Times New Roman" w:cs="Times New Roman" w:hint="cs"/>
          <w:sz w:val="28"/>
          <w:szCs w:val="28"/>
          <w:rtl/>
        </w:rPr>
        <w:t>من ال</w:t>
      </w:r>
      <w:r w:rsidR="002174D8">
        <w:rPr>
          <w:rFonts w:ascii="Times New Roman" w:hAnsi="Times New Roman" w:cs="Times New Roman" w:hint="cs"/>
          <w:sz w:val="28"/>
          <w:szCs w:val="28"/>
          <w:rtl/>
        </w:rPr>
        <w:t>مرسوم بقانون 49 لسنة 2022.</w:t>
      </w:r>
    </w:p>
    <w:p w14:paraId="5C615479" w14:textId="578E8490" w:rsidR="002174D8" w:rsidRDefault="002174D8" w:rsidP="00EC0684">
      <w:pPr>
        <w:tabs>
          <w:tab w:val="left" w:pos="3221"/>
        </w:tabs>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(2) لجنة الاعتراضات. ماهيتها. لجنة للنظر في الاعتراضات المقدمة من موظفي الحكومة الاتحادية على القرارات الصادرة من لجنة التظلمات. تشكيلها بقرار من رئيس الهيئة</w:t>
      </w:r>
      <w:r w:rsidR="00EC0684">
        <w:rPr>
          <w:rFonts w:ascii="Times New Roman" w:hAnsi="Times New Roman" w:cs="Times New Roman" w:hint="cs"/>
          <w:sz w:val="28"/>
          <w:szCs w:val="28"/>
          <w:rtl/>
        </w:rPr>
        <w:t xml:space="preserve"> الاتحادية للموارد البشرية الحكومية. القرارات الصادرة عنها. نهائية. قبول الدعاوى المرفوعة من الموظفين أمام القضاء استناداً لقانون الموارد البشرية. شرطه. لجوء الموظف إلى كل من لجنة </w:t>
      </w:r>
      <w:r w:rsidR="00EC0684" w:rsidRPr="00EC0684">
        <w:rPr>
          <w:rFonts w:ascii="Times New Roman" w:hAnsi="Times New Roman" w:cs="Times New Roman" w:hint="cs"/>
          <w:sz w:val="28"/>
          <w:szCs w:val="28"/>
          <w:rtl/>
        </w:rPr>
        <w:t xml:space="preserve">التظلمات ولجنة الاعتراضات وفق </w:t>
      </w:r>
      <w:r w:rsidR="00EC0684" w:rsidRPr="005C6E3B">
        <w:rPr>
          <w:rFonts w:ascii="Times New Roman" w:hAnsi="Times New Roman" w:cs="Times New Roman"/>
          <w:sz w:val="28"/>
          <w:szCs w:val="28"/>
          <w:rtl/>
        </w:rPr>
        <w:t>الإجراءات والآليات والمدد الزمنية</w:t>
      </w:r>
      <w:r w:rsidR="00EC0684" w:rsidRPr="00EC0684">
        <w:rPr>
          <w:rFonts w:ascii="Times New Roman" w:hAnsi="Times New Roman" w:cs="Times New Roman" w:hint="cs"/>
          <w:sz w:val="28"/>
          <w:szCs w:val="28"/>
          <w:rtl/>
        </w:rPr>
        <w:t xml:space="preserve"> المحددة. أساس ذلك. </w:t>
      </w:r>
      <w:r w:rsidR="00EC0684">
        <w:rPr>
          <w:rFonts w:ascii="Times New Roman" w:hAnsi="Times New Roman" w:cs="Times New Roman" w:hint="cs"/>
          <w:sz w:val="28"/>
          <w:szCs w:val="28"/>
          <w:rtl/>
        </w:rPr>
        <w:t>م 44 من المرسوم بقانون 49 لسنة 2022.</w:t>
      </w:r>
    </w:p>
    <w:p w14:paraId="33920CB1" w14:textId="5C15FFA6" w:rsidR="00EC0684" w:rsidRDefault="00EC0684" w:rsidP="00FF7CF1">
      <w:pPr>
        <w:tabs>
          <w:tab w:val="left" w:pos="3221"/>
        </w:tabs>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 xml:space="preserve">(3) </w:t>
      </w:r>
      <w:r w:rsidR="0097244C">
        <w:rPr>
          <w:rFonts w:ascii="Times New Roman" w:hAnsi="Times New Roman" w:cs="Times New Roman" w:hint="cs"/>
          <w:sz w:val="28"/>
          <w:szCs w:val="28"/>
          <w:rtl/>
        </w:rPr>
        <w:t xml:space="preserve">اللائحة التنفيذية لقانون الموارد البشرية الاتحادي. تطبق على جميع الموظفين المدنيين لدى الجهات الاتحادية وإن كانت ذات لوائح مستقلة. </w:t>
      </w:r>
      <w:r w:rsidR="00FF7CF1">
        <w:rPr>
          <w:rFonts w:ascii="Times New Roman" w:hAnsi="Times New Roman" w:cs="Times New Roman" w:hint="cs"/>
          <w:sz w:val="28"/>
          <w:szCs w:val="28"/>
          <w:rtl/>
        </w:rPr>
        <w:t>يُستثنى</w:t>
      </w:r>
      <w:r w:rsidR="0097244C">
        <w:rPr>
          <w:rFonts w:ascii="Times New Roman" w:hAnsi="Times New Roman" w:cs="Times New Roman" w:hint="cs"/>
          <w:sz w:val="28"/>
          <w:szCs w:val="28"/>
          <w:rtl/>
        </w:rPr>
        <w:t xml:space="preserve"> من ذلك ما </w:t>
      </w:r>
      <w:r w:rsidR="00FF7CF1">
        <w:rPr>
          <w:rFonts w:ascii="Times New Roman" w:hAnsi="Times New Roman" w:cs="Times New Roman" w:hint="cs"/>
          <w:sz w:val="28"/>
          <w:szCs w:val="28"/>
          <w:rtl/>
        </w:rPr>
        <w:t>يُستثنى</w:t>
      </w:r>
      <w:r w:rsidR="0097244C">
        <w:rPr>
          <w:rFonts w:ascii="Times New Roman" w:hAnsi="Times New Roman" w:cs="Times New Roman" w:hint="cs"/>
          <w:sz w:val="28"/>
          <w:szCs w:val="28"/>
          <w:rtl/>
        </w:rPr>
        <w:t xml:space="preserve"> بقرار من مجلس الوزراء والذي يحدد الالتزامات البديلة وي</w:t>
      </w:r>
      <w:r w:rsidR="00FF7CF1">
        <w:rPr>
          <w:rFonts w:ascii="Times New Roman" w:hAnsi="Times New Roman" w:cs="Times New Roman" w:hint="cs"/>
          <w:sz w:val="28"/>
          <w:szCs w:val="28"/>
          <w:rtl/>
        </w:rPr>
        <w:t>ُ</w:t>
      </w:r>
      <w:r w:rsidR="0097244C">
        <w:rPr>
          <w:rFonts w:ascii="Times New Roman" w:hAnsi="Times New Roman" w:cs="Times New Roman" w:hint="cs"/>
          <w:sz w:val="28"/>
          <w:szCs w:val="28"/>
          <w:rtl/>
        </w:rPr>
        <w:t>لزم الجهة بتوفير بيانات موظفيها للهيئة. قرارات الاستثناء السابقة سارية ما لم يقرر مجلس الوزراء خلاف ذلك.</w:t>
      </w:r>
      <w:r w:rsidR="00FF7CF1">
        <w:rPr>
          <w:rFonts w:ascii="Times New Roman" w:hAnsi="Times New Roman" w:cs="Times New Roman" w:hint="cs"/>
          <w:sz w:val="28"/>
          <w:szCs w:val="28"/>
          <w:rtl/>
        </w:rPr>
        <w:t xml:space="preserve"> أساس ذلك. </w:t>
      </w:r>
      <w:r w:rsidR="00FF7CF1" w:rsidRPr="00FF7CF1">
        <w:rPr>
          <w:rFonts w:ascii="Times New Roman" w:hAnsi="Times New Roman" w:cs="Times New Roman" w:hint="cs"/>
          <w:sz w:val="28"/>
          <w:szCs w:val="28"/>
          <w:rtl/>
        </w:rPr>
        <w:t xml:space="preserve">م 2 </w:t>
      </w:r>
      <w:r w:rsidR="00FF7CF1" w:rsidRPr="005C6E3B">
        <w:rPr>
          <w:rFonts w:ascii="Times New Roman" w:hAnsi="Times New Roman" w:cs="Times New Roman"/>
          <w:sz w:val="28"/>
          <w:szCs w:val="28"/>
          <w:rtl/>
        </w:rPr>
        <w:t>من قرار مجلس الوزراء رقم 48 لسنة 2023 بشأن اللائحة التنفيذية للمرسوم بقانون اتحادي رقم 49 لسنة 2022</w:t>
      </w:r>
      <w:r w:rsidR="00FF7CF1">
        <w:rPr>
          <w:rFonts w:ascii="Times New Roman" w:hAnsi="Times New Roman" w:cs="Times New Roman" w:hint="cs"/>
          <w:sz w:val="28"/>
          <w:szCs w:val="28"/>
          <w:rtl/>
        </w:rPr>
        <w:t>.</w:t>
      </w:r>
    </w:p>
    <w:p w14:paraId="25C2A6B9" w14:textId="77777777" w:rsidR="00F2197C" w:rsidRDefault="00F2197C" w:rsidP="00FF7CF1">
      <w:pPr>
        <w:tabs>
          <w:tab w:val="left" w:pos="3221"/>
        </w:tabs>
        <w:spacing w:line="360" w:lineRule="auto"/>
        <w:ind w:firstLine="630"/>
        <w:jc w:val="both"/>
        <w:rPr>
          <w:rFonts w:ascii="Times New Roman" w:hAnsi="Times New Roman" w:cs="Times New Roman"/>
          <w:sz w:val="28"/>
          <w:szCs w:val="28"/>
          <w:rtl/>
        </w:rPr>
      </w:pPr>
    </w:p>
    <w:p w14:paraId="2EF58997" w14:textId="77777777" w:rsidR="00F2197C" w:rsidRDefault="00F2197C" w:rsidP="00FF7CF1">
      <w:pPr>
        <w:tabs>
          <w:tab w:val="left" w:pos="3221"/>
        </w:tabs>
        <w:spacing w:line="360" w:lineRule="auto"/>
        <w:ind w:firstLine="630"/>
        <w:jc w:val="both"/>
        <w:rPr>
          <w:rFonts w:ascii="Times New Roman" w:hAnsi="Times New Roman" w:cs="Times New Roman"/>
          <w:sz w:val="28"/>
          <w:szCs w:val="28"/>
          <w:rtl/>
        </w:rPr>
      </w:pPr>
    </w:p>
    <w:p w14:paraId="152037D7" w14:textId="77777777" w:rsidR="00F2197C" w:rsidRDefault="00F2197C" w:rsidP="00FF7CF1">
      <w:pPr>
        <w:tabs>
          <w:tab w:val="left" w:pos="3221"/>
        </w:tabs>
        <w:spacing w:line="360" w:lineRule="auto"/>
        <w:ind w:firstLine="630"/>
        <w:jc w:val="both"/>
        <w:rPr>
          <w:rFonts w:ascii="Times New Roman" w:hAnsi="Times New Roman" w:cs="Times New Roman"/>
          <w:sz w:val="28"/>
          <w:szCs w:val="28"/>
          <w:rtl/>
        </w:rPr>
      </w:pPr>
    </w:p>
    <w:p w14:paraId="112506CC" w14:textId="77777777" w:rsidR="00F2197C" w:rsidRDefault="00F2197C" w:rsidP="00FF7CF1">
      <w:pPr>
        <w:tabs>
          <w:tab w:val="left" w:pos="3221"/>
        </w:tabs>
        <w:spacing w:line="360" w:lineRule="auto"/>
        <w:ind w:firstLine="630"/>
        <w:jc w:val="both"/>
        <w:rPr>
          <w:rFonts w:ascii="Times New Roman" w:hAnsi="Times New Roman" w:cs="Times New Roman"/>
          <w:sz w:val="28"/>
          <w:szCs w:val="28"/>
          <w:rtl/>
        </w:rPr>
      </w:pPr>
    </w:p>
    <w:p w14:paraId="2F142B13" w14:textId="77777777" w:rsidR="00F2197C" w:rsidRDefault="00F2197C" w:rsidP="00FF7CF1">
      <w:pPr>
        <w:tabs>
          <w:tab w:val="left" w:pos="3221"/>
        </w:tabs>
        <w:spacing w:line="360" w:lineRule="auto"/>
        <w:ind w:firstLine="630"/>
        <w:jc w:val="both"/>
        <w:rPr>
          <w:rFonts w:ascii="Times New Roman" w:hAnsi="Times New Roman" w:cs="Times New Roman"/>
          <w:sz w:val="28"/>
          <w:szCs w:val="28"/>
          <w:rtl/>
        </w:rPr>
      </w:pPr>
    </w:p>
    <w:p w14:paraId="60971BD2" w14:textId="2FE22E2F" w:rsidR="00FF7CF1" w:rsidRDefault="00FF7CF1" w:rsidP="00574AD4">
      <w:pPr>
        <w:tabs>
          <w:tab w:val="left" w:pos="3221"/>
        </w:tabs>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 xml:space="preserve">(4) </w:t>
      </w:r>
      <w:r w:rsidR="00574AD4">
        <w:rPr>
          <w:rFonts w:ascii="Times New Roman" w:hAnsi="Times New Roman" w:cs="Times New Roman" w:hint="cs"/>
          <w:sz w:val="28"/>
          <w:szCs w:val="28"/>
          <w:rtl/>
        </w:rPr>
        <w:t>المتضرر من القرار الإداري. سلوكه طريق التظلم أمام لجنة التظلمات ثم لجنة الاعتراضات.</w:t>
      </w:r>
      <w:r w:rsidR="000036BA">
        <w:rPr>
          <w:rFonts w:ascii="Times New Roman" w:hAnsi="Times New Roman" w:cs="Times New Roman" w:hint="cs"/>
          <w:sz w:val="28"/>
          <w:szCs w:val="28"/>
          <w:rtl/>
        </w:rPr>
        <w:t xml:space="preserve"> وجوبي.</w:t>
      </w:r>
      <w:r w:rsidR="00574AD4">
        <w:rPr>
          <w:rFonts w:ascii="Times New Roman" w:hAnsi="Times New Roman" w:cs="Times New Roman" w:hint="cs"/>
          <w:sz w:val="28"/>
          <w:szCs w:val="28"/>
          <w:rtl/>
        </w:rPr>
        <w:t xml:space="preserve"> علة ذلك. قرار لجنة الاعتراضات </w:t>
      </w:r>
      <w:r w:rsidR="000036BA">
        <w:rPr>
          <w:rFonts w:ascii="Times New Roman" w:hAnsi="Times New Roman" w:cs="Times New Roman" w:hint="cs"/>
          <w:sz w:val="28"/>
          <w:szCs w:val="28"/>
          <w:rtl/>
        </w:rPr>
        <w:t xml:space="preserve">- التي تمارس نوعاً من الولاية وتطبق أحكام القانون - </w:t>
      </w:r>
      <w:r w:rsidR="00574AD4">
        <w:rPr>
          <w:rFonts w:ascii="Times New Roman" w:hAnsi="Times New Roman" w:cs="Times New Roman" w:hint="cs"/>
          <w:sz w:val="28"/>
          <w:szCs w:val="28"/>
          <w:rtl/>
        </w:rPr>
        <w:t>ه</w:t>
      </w:r>
      <w:r w:rsidR="000036BA">
        <w:rPr>
          <w:rFonts w:ascii="Times New Roman" w:hAnsi="Times New Roman" w:cs="Times New Roman" w:hint="cs"/>
          <w:sz w:val="28"/>
          <w:szCs w:val="28"/>
          <w:rtl/>
        </w:rPr>
        <w:t>و وحده</w:t>
      </w:r>
      <w:r w:rsidR="00574AD4">
        <w:rPr>
          <w:rFonts w:ascii="Times New Roman" w:hAnsi="Times New Roman" w:cs="Times New Roman" w:hint="cs"/>
          <w:sz w:val="28"/>
          <w:szCs w:val="28"/>
          <w:rtl/>
        </w:rPr>
        <w:t xml:space="preserve"> محل الطعن أمام المحكمة</w:t>
      </w:r>
      <w:r w:rsidR="000036BA">
        <w:rPr>
          <w:rFonts w:ascii="Times New Roman" w:hAnsi="Times New Roman" w:cs="Times New Roman" w:hint="cs"/>
          <w:sz w:val="28"/>
          <w:szCs w:val="28"/>
          <w:rtl/>
        </w:rPr>
        <w:t xml:space="preserve"> الإدارية ولا </w:t>
      </w:r>
      <w:r w:rsidR="00574AD4">
        <w:rPr>
          <w:rFonts w:ascii="Times New Roman" w:hAnsi="Times New Roman" w:cs="Times New Roman" w:hint="cs"/>
          <w:sz w:val="28"/>
          <w:szCs w:val="28"/>
          <w:rtl/>
        </w:rPr>
        <w:t>ينعقد اختصاصها إلا بعد صدور</w:t>
      </w:r>
      <w:r w:rsidR="000036BA">
        <w:rPr>
          <w:rFonts w:ascii="Times New Roman" w:hAnsi="Times New Roman" w:cs="Times New Roman" w:hint="cs"/>
          <w:sz w:val="28"/>
          <w:szCs w:val="28"/>
          <w:rtl/>
        </w:rPr>
        <w:t>ه</w:t>
      </w:r>
      <w:r w:rsidR="00574AD4">
        <w:rPr>
          <w:rFonts w:ascii="Times New Roman" w:hAnsi="Times New Roman" w:cs="Times New Roman" w:hint="cs"/>
          <w:sz w:val="28"/>
          <w:szCs w:val="28"/>
          <w:rtl/>
        </w:rPr>
        <w:t xml:space="preserve"> </w:t>
      </w:r>
      <w:r w:rsidR="000036BA">
        <w:rPr>
          <w:rFonts w:ascii="Times New Roman" w:hAnsi="Times New Roman" w:cs="Times New Roman" w:hint="cs"/>
          <w:sz w:val="28"/>
          <w:szCs w:val="28"/>
          <w:rtl/>
        </w:rPr>
        <w:t>نهائي من</w:t>
      </w:r>
      <w:r w:rsidR="00574AD4">
        <w:rPr>
          <w:rFonts w:ascii="Times New Roman" w:hAnsi="Times New Roman" w:cs="Times New Roman" w:hint="cs"/>
          <w:sz w:val="28"/>
          <w:szCs w:val="28"/>
          <w:rtl/>
        </w:rPr>
        <w:t xml:space="preserve"> اللجنة</w:t>
      </w:r>
      <w:r w:rsidR="000036BA">
        <w:rPr>
          <w:rFonts w:ascii="Times New Roman" w:hAnsi="Times New Roman" w:cs="Times New Roman" w:hint="cs"/>
          <w:sz w:val="28"/>
          <w:szCs w:val="28"/>
          <w:rtl/>
        </w:rPr>
        <w:t xml:space="preserve"> واقتصار رقابة القضاء على فحص ذلك القرار وقد</w:t>
      </w:r>
      <w:r w:rsidR="00574AD4">
        <w:rPr>
          <w:rFonts w:ascii="Times New Roman" w:hAnsi="Times New Roman" w:cs="Times New Roman" w:hint="cs"/>
          <w:sz w:val="28"/>
          <w:szCs w:val="28"/>
          <w:rtl/>
        </w:rPr>
        <w:t xml:space="preserve"> نص </w:t>
      </w:r>
      <w:r w:rsidR="000036BA">
        <w:rPr>
          <w:rFonts w:ascii="Times New Roman" w:hAnsi="Times New Roman" w:cs="Times New Roman" w:hint="cs"/>
          <w:sz w:val="28"/>
          <w:szCs w:val="28"/>
          <w:rtl/>
        </w:rPr>
        <w:t xml:space="preserve">القانون </w:t>
      </w:r>
      <w:r w:rsidR="00574AD4">
        <w:rPr>
          <w:rFonts w:ascii="Times New Roman" w:hAnsi="Times New Roman" w:cs="Times New Roman" w:hint="cs"/>
          <w:sz w:val="28"/>
          <w:szCs w:val="28"/>
          <w:rtl/>
        </w:rPr>
        <w:t xml:space="preserve">على </w:t>
      </w:r>
      <w:r w:rsidR="000036BA">
        <w:rPr>
          <w:rFonts w:ascii="Times New Roman" w:hAnsi="Times New Roman" w:cs="Times New Roman" w:hint="cs"/>
          <w:sz w:val="28"/>
          <w:szCs w:val="28"/>
          <w:rtl/>
        </w:rPr>
        <w:t xml:space="preserve">هذا الإجراء بنص </w:t>
      </w:r>
      <w:r w:rsidR="00574AD4">
        <w:rPr>
          <w:rFonts w:ascii="Times New Roman" w:hAnsi="Times New Roman" w:cs="Times New Roman" w:hint="cs"/>
          <w:sz w:val="28"/>
          <w:szCs w:val="28"/>
          <w:rtl/>
        </w:rPr>
        <w:t>واضح الدلالة لا يجوز الخروج عليه أو تأويله</w:t>
      </w:r>
      <w:r w:rsidR="000036BA">
        <w:rPr>
          <w:rFonts w:ascii="Times New Roman" w:hAnsi="Times New Roman" w:cs="Times New Roman" w:hint="cs"/>
          <w:sz w:val="28"/>
          <w:szCs w:val="28"/>
          <w:rtl/>
        </w:rPr>
        <w:t>.</w:t>
      </w:r>
      <w:r w:rsidR="00574AD4">
        <w:rPr>
          <w:rFonts w:ascii="Times New Roman" w:hAnsi="Times New Roman" w:cs="Times New Roman" w:hint="cs"/>
          <w:sz w:val="28"/>
          <w:szCs w:val="28"/>
          <w:rtl/>
        </w:rPr>
        <w:t xml:space="preserve"> </w:t>
      </w:r>
    </w:p>
    <w:p w14:paraId="1FBEEAE1" w14:textId="77777777" w:rsidR="00BA5163" w:rsidRPr="00BA5163" w:rsidRDefault="00BA5163" w:rsidP="00BA5163">
      <w:pPr>
        <w:spacing w:line="360" w:lineRule="auto"/>
        <w:ind w:firstLine="630"/>
        <w:jc w:val="both"/>
        <w:rPr>
          <w:rFonts w:ascii="Times New Roman" w:hAnsi="Times New Roman" w:cs="Times New Roman"/>
          <w:sz w:val="28"/>
          <w:szCs w:val="28"/>
          <w:rtl/>
        </w:rPr>
      </w:pPr>
      <w:r w:rsidRPr="00BA5163">
        <w:rPr>
          <w:rFonts w:ascii="Times New Roman" w:hAnsi="Times New Roman" w:cs="Times New Roman" w:hint="cs"/>
          <w:sz w:val="28"/>
          <w:szCs w:val="28"/>
          <w:rtl/>
        </w:rPr>
        <w:t>(5) الأحكام. يجب أن تكون مبنية على أسباب واضحة تبين أن المحكمة قد بحثت النزاع بحثاً دقيقاً وأن الاستنباط الذي وصل إليها القاضي مبرر وأن هناك ارتباط منطقي بين الأسباب والمنطوق. مخالفة ذلك. قصور يوجب النقض.</w:t>
      </w:r>
    </w:p>
    <w:p w14:paraId="5FEF9A60" w14:textId="77777777" w:rsidR="00E35032" w:rsidRDefault="00E35032" w:rsidP="00E35032">
      <w:pPr>
        <w:spacing w:line="360" w:lineRule="auto"/>
        <w:ind w:firstLine="630"/>
        <w:jc w:val="both"/>
        <w:rPr>
          <w:rFonts w:ascii="Times New Roman" w:hAnsi="Times New Roman" w:cs="Times New Roman"/>
          <w:sz w:val="28"/>
          <w:szCs w:val="28"/>
          <w:rtl/>
        </w:rPr>
      </w:pPr>
      <w:r w:rsidRPr="00E35032">
        <w:rPr>
          <w:rFonts w:ascii="Times New Roman" w:hAnsi="Times New Roman" w:cs="Times New Roman" w:hint="cs"/>
          <w:sz w:val="28"/>
          <w:szCs w:val="28"/>
          <w:rtl/>
        </w:rPr>
        <w:t>(6) الدفاع المدلى به بطريق الجزم لمحكمة الموضوع والذي إن صح تغير وجه الرأي في الدعوى. واجب البحث والرد عليه بأسباب خاصة. مخالفة ذلك. قصور يرتب البطلان.</w:t>
      </w:r>
    </w:p>
    <w:p w14:paraId="2B1EE310" w14:textId="77777777" w:rsidR="00E35032" w:rsidRPr="00E35032" w:rsidRDefault="00E35032" w:rsidP="00E35032">
      <w:pPr>
        <w:spacing w:line="360" w:lineRule="auto"/>
        <w:ind w:firstLine="630"/>
        <w:jc w:val="both"/>
        <w:rPr>
          <w:rFonts w:ascii="Times New Roman" w:hAnsi="Times New Roman" w:cs="Times New Roman"/>
          <w:sz w:val="28"/>
          <w:szCs w:val="28"/>
          <w:rtl/>
        </w:rPr>
      </w:pPr>
      <w:r w:rsidRPr="00E35032">
        <w:rPr>
          <w:rFonts w:ascii="Times New Roman" w:hAnsi="Times New Roman" w:cs="Times New Roman" w:hint="cs"/>
          <w:sz w:val="28"/>
          <w:szCs w:val="28"/>
          <w:rtl/>
        </w:rPr>
        <w:t xml:space="preserve">(7) الدفاع الجوهري الذي قد يتغير به وجه الرأي في الدعوى. واجب التحقيق. </w:t>
      </w:r>
    </w:p>
    <w:p w14:paraId="57F69E2C" w14:textId="3ACA7B9D" w:rsidR="00E35032" w:rsidRPr="00E35032" w:rsidRDefault="00E35032" w:rsidP="00E35032">
      <w:pPr>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 xml:space="preserve">(8) إغفال الحكم المطعون فيه بحث ما تمسك به الطاعن من عدم قبول الدعوى لعدم لجوء المدعي إلى لجنة الاعتراضات بجهة عمله قبل اللجوء إلى القضاء مكتفياً بالإشارة إلى أن محكمة أول درجة قد ردت عليه. قصور وإخلال بحق الدفاع يوجب النقض والإحالة. </w:t>
      </w:r>
    </w:p>
    <w:p w14:paraId="7A637A71" w14:textId="124BB947" w:rsidR="008B7D12" w:rsidRPr="008B182E" w:rsidRDefault="008B7D12" w:rsidP="008B7D12">
      <w:pPr>
        <w:spacing w:line="360" w:lineRule="auto"/>
        <w:jc w:val="center"/>
        <w:rPr>
          <w:rFonts w:ascii="Times New Roman" w:hAnsi="Times New Roman" w:cs="Times New Roman"/>
          <w:b/>
          <w:bCs/>
          <w:noProof/>
          <w:sz w:val="44"/>
          <w:szCs w:val="28"/>
          <w:rtl/>
          <w:lang w:eastAsia="en-US" w:bidi="ar-SA"/>
        </w:rPr>
      </w:pPr>
      <w:r w:rsidRPr="008B182E">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849</w:t>
      </w:r>
      <w:r w:rsidRPr="008B182E">
        <w:rPr>
          <w:rFonts w:ascii="Times New Roman" w:hAnsi="Times New Roman" w:cs="Times New Roman"/>
          <w:b/>
          <w:bCs/>
          <w:noProof/>
          <w:sz w:val="44"/>
          <w:szCs w:val="28"/>
          <w:rtl/>
          <w:lang w:eastAsia="en-US" w:bidi="ar-SA"/>
        </w:rPr>
        <w:t xml:space="preserve"> لسنة </w:t>
      </w:r>
      <w:r w:rsidRPr="008B182E">
        <w:rPr>
          <w:rFonts w:ascii="Times New Roman" w:hAnsi="Times New Roman" w:cs="Times New Roman" w:hint="cs"/>
          <w:b/>
          <w:bCs/>
          <w:noProof/>
          <w:sz w:val="44"/>
          <w:szCs w:val="28"/>
          <w:rtl/>
          <w:lang w:eastAsia="en-US" w:bidi="ar-SA"/>
        </w:rPr>
        <w:t>2025</w:t>
      </w:r>
      <w:r w:rsidRPr="008B182E">
        <w:rPr>
          <w:rFonts w:ascii="Times New Roman" w:hAnsi="Times New Roman" w:cs="Times New Roman"/>
          <w:b/>
          <w:bCs/>
          <w:noProof/>
          <w:sz w:val="44"/>
          <w:szCs w:val="28"/>
          <w:rtl/>
          <w:lang w:eastAsia="en-US" w:bidi="ar-SA"/>
        </w:rPr>
        <w:t xml:space="preserve"> إداري، جلسة </w:t>
      </w:r>
      <w:r>
        <w:rPr>
          <w:rFonts w:ascii="Times New Roman" w:hAnsi="Times New Roman" w:cs="Times New Roman" w:hint="cs"/>
          <w:b/>
          <w:bCs/>
          <w:noProof/>
          <w:sz w:val="44"/>
          <w:szCs w:val="28"/>
          <w:rtl/>
          <w:lang w:eastAsia="en-US" w:bidi="ar-SA"/>
        </w:rPr>
        <w:t>10</w:t>
      </w:r>
      <w:r w:rsidRPr="008B182E">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12</w:t>
      </w:r>
      <w:r w:rsidRPr="008B182E">
        <w:rPr>
          <w:rFonts w:ascii="Times New Roman" w:hAnsi="Times New Roman" w:cs="Times New Roman"/>
          <w:b/>
          <w:bCs/>
          <w:noProof/>
          <w:sz w:val="44"/>
          <w:szCs w:val="28"/>
          <w:rtl/>
          <w:lang w:eastAsia="en-US" w:bidi="ar-SA"/>
        </w:rPr>
        <w:t>/</w:t>
      </w:r>
      <w:r w:rsidRPr="008B182E">
        <w:rPr>
          <w:rFonts w:ascii="Times New Roman" w:hAnsi="Times New Roman" w:cs="Times New Roman" w:hint="cs"/>
          <w:b/>
          <w:bCs/>
          <w:noProof/>
          <w:sz w:val="44"/>
          <w:szCs w:val="28"/>
          <w:rtl/>
          <w:lang w:eastAsia="en-US" w:bidi="ar-SA"/>
        </w:rPr>
        <w:t>2025</w:t>
      </w:r>
      <w:r w:rsidRPr="008B182E">
        <w:rPr>
          <w:rFonts w:ascii="Times New Roman" w:hAnsi="Times New Roman" w:cs="Times New Roman"/>
          <w:b/>
          <w:bCs/>
          <w:noProof/>
          <w:sz w:val="44"/>
          <w:szCs w:val="28"/>
          <w:rtl/>
          <w:lang w:eastAsia="en-US" w:bidi="ar-SA"/>
        </w:rPr>
        <w:t>)</w:t>
      </w:r>
    </w:p>
    <w:p w14:paraId="555D3783" w14:textId="77777777" w:rsidR="008B7D12" w:rsidRPr="008B182E" w:rsidRDefault="008B7D12" w:rsidP="008B7D12">
      <w:pPr>
        <w:tabs>
          <w:tab w:val="left" w:pos="33"/>
        </w:tabs>
        <w:spacing w:line="360" w:lineRule="auto"/>
        <w:jc w:val="center"/>
        <w:rPr>
          <w:rFonts w:ascii="Times New Roman" w:hAnsi="Times New Roman" w:cs="Times New Roman"/>
          <w:b/>
          <w:bCs/>
          <w:noProof/>
          <w:sz w:val="48"/>
          <w:rtl/>
          <w:lang w:eastAsia="en-US" w:bidi="ar-SA"/>
        </w:rPr>
      </w:pPr>
      <w:r w:rsidRPr="008B182E">
        <w:rPr>
          <w:rFonts w:ascii="Times New Roman" w:hAnsi="Times New Roman" w:cs="Times New Roman"/>
          <w:b/>
          <w:bCs/>
          <w:noProof/>
          <w:sz w:val="48"/>
          <w:rtl/>
          <w:lang w:eastAsia="en-US" w:bidi="ar-SA"/>
        </w:rPr>
        <w:t>ـــــــــــــــــــــــــــــــــــ</w:t>
      </w:r>
    </w:p>
    <w:p w14:paraId="7227446D" w14:textId="38857D9F" w:rsidR="005C6E3B" w:rsidRP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5C6E3B">
        <w:rPr>
          <w:rFonts w:ascii="Times New Roman" w:hAnsi="Times New Roman" w:cs="Times New Roman"/>
          <w:b/>
          <w:bCs/>
          <w:sz w:val="28"/>
          <w:szCs w:val="28"/>
          <w:rtl/>
        </w:rPr>
        <w:t>المقرر بنص المادة الثانية من مرسوم بقانون رقم 49/2022 بشان الموارد البشرية في الحكومة الاتحادية نصت على  أنه "</w:t>
      </w:r>
      <w:r w:rsidRPr="005C6E3B">
        <w:rPr>
          <w:rFonts w:ascii="Times New Roman" w:hAnsi="Times New Roman" w:cs="Times New Roman" w:hint="cs"/>
          <w:b/>
          <w:bCs/>
          <w:sz w:val="28"/>
          <w:szCs w:val="28"/>
          <w:rtl/>
        </w:rPr>
        <w:t>1-</w:t>
      </w:r>
      <w:r w:rsidRPr="005C6E3B">
        <w:rPr>
          <w:rFonts w:ascii="Times New Roman" w:hAnsi="Times New Roman" w:cs="Times New Roman"/>
          <w:b/>
          <w:bCs/>
          <w:sz w:val="28"/>
          <w:szCs w:val="28"/>
          <w:rtl/>
        </w:rPr>
        <w:t xml:space="preserve"> تُطبق أحكام هذا المرسوم بقانون على الموظفين المدنيين في الجهات الاتحادية، بما في ذلك الجهات التي نصت تشريعات إنشائها على وجود لوائح موارد بشرية مستقلة لها.</w:t>
      </w:r>
      <w:r w:rsidRPr="005C6E3B">
        <w:rPr>
          <w:rFonts w:ascii="Times New Roman" w:hAnsi="Times New Roman" w:cs="Times New Roman" w:hint="cs"/>
          <w:b/>
          <w:bCs/>
          <w:sz w:val="28"/>
          <w:szCs w:val="28"/>
          <w:rtl/>
        </w:rPr>
        <w:t xml:space="preserve"> 2-</w:t>
      </w:r>
      <w:r w:rsidRPr="005C6E3B">
        <w:rPr>
          <w:rFonts w:ascii="Times New Roman" w:hAnsi="Times New Roman" w:cs="Times New Roman"/>
          <w:b/>
          <w:bCs/>
          <w:sz w:val="28"/>
          <w:szCs w:val="28"/>
          <w:rtl/>
        </w:rPr>
        <w:t xml:space="preserve">  يُستثنى من تطبيق أحكام هذا المرسوم بقانون، الجهات الاتحادية وموظفيها، التي يتم استثناؤها من أحكام هذا المرسوم بقانون بقرار من مجلس الوزراء، وعلى أن يحدد قرار الاستثناء الأحكام والالتزامات المترتبة على تلك الجهات، مع التزام هذه الجهات بتوفير البيانات الآنية للموارد البشرية العاملة لديها متضمنة الأجور والرواتب وكافة الإجراءات الخاصة بالموارد البشرية، من خلال الربط مع الأنظمة المعتمدة لدى الهيئة".</w:t>
      </w:r>
    </w:p>
    <w:p w14:paraId="6778F7AA" w14:textId="1CDFCA84" w:rsidR="005C6E3B" w:rsidRP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Pr="005C6E3B">
        <w:rPr>
          <w:rFonts w:ascii="Times New Roman" w:hAnsi="Times New Roman" w:cs="Times New Roman"/>
          <w:b/>
          <w:bCs/>
          <w:sz w:val="28"/>
          <w:szCs w:val="28"/>
          <w:rtl/>
        </w:rPr>
        <w:t xml:space="preserve"> المقرر وفقا لنص المادة الرابعة والأربعين من مرسوم بقانون الآنف الذكر أنه </w:t>
      </w:r>
      <w:r w:rsidRPr="005C6E3B">
        <w:rPr>
          <w:rFonts w:ascii="Times New Roman" w:hAnsi="Times New Roman" w:cs="Times New Roman" w:hint="cs"/>
          <w:b/>
          <w:bCs/>
          <w:sz w:val="28"/>
          <w:szCs w:val="28"/>
          <w:rtl/>
        </w:rPr>
        <w:t>"</w:t>
      </w:r>
      <w:r w:rsidRPr="005C6E3B">
        <w:rPr>
          <w:rFonts w:ascii="Times New Roman" w:hAnsi="Times New Roman" w:cs="Times New Roman"/>
          <w:b/>
          <w:bCs/>
          <w:sz w:val="28"/>
          <w:szCs w:val="28"/>
          <w:rtl/>
        </w:rPr>
        <w:t>1 - تُشكل بقرار من رئيس الهيئة، لجنة تُسمى "لجنة الاعتراضات"، للنظر في الاعتراضات المقدمة من موظفي الحكومة الاتحادية على قرارات لجنة التظلمات، وذلك وفق الإجراءات والآليات والمدد الزمنية التي تُحددها اللائحة التنفيذية لهذا المرسوم بقانون، وتكون القرارات الصادرة عن لجنة الاعتراضات نهائية.</w:t>
      </w:r>
      <w:r w:rsidRPr="005C6E3B">
        <w:rPr>
          <w:rFonts w:ascii="Times New Roman" w:hAnsi="Times New Roman" w:cs="Times New Roman" w:hint="cs"/>
          <w:b/>
          <w:bCs/>
          <w:sz w:val="28"/>
          <w:szCs w:val="28"/>
          <w:rtl/>
        </w:rPr>
        <w:t xml:space="preserve"> 2-</w:t>
      </w:r>
      <w:r w:rsidRPr="005C6E3B">
        <w:rPr>
          <w:rFonts w:ascii="Times New Roman" w:hAnsi="Times New Roman" w:cs="Times New Roman"/>
          <w:b/>
          <w:bCs/>
          <w:sz w:val="28"/>
          <w:szCs w:val="28"/>
          <w:rtl/>
        </w:rPr>
        <w:t xml:space="preserve"> لا تقبل الدعوى المرفوعة من الموظف أمام القضاء استنادًا لأحكام هذا المرسوم بقانون أو لائحته </w:t>
      </w:r>
      <w:r w:rsidRPr="005C6E3B">
        <w:rPr>
          <w:rFonts w:ascii="Times New Roman" w:hAnsi="Times New Roman" w:cs="Times New Roman"/>
          <w:b/>
          <w:bCs/>
          <w:sz w:val="28"/>
          <w:szCs w:val="28"/>
          <w:rtl/>
        </w:rPr>
        <w:lastRenderedPageBreak/>
        <w:t>التنفيذية أو القرارات الصادرة تنفيذًا لهما، إذا لم يسبقها اللجوء إلى لجنة التظلمات ولجنة الاعتراضات خلال المدد ووفق الإجراءات والشروط التي تُحددها اللائحة التنفيذية لهذا المرسوم بقانون</w:t>
      </w:r>
      <w:r w:rsidRPr="005C6E3B">
        <w:rPr>
          <w:rFonts w:ascii="Times New Roman" w:hAnsi="Times New Roman" w:cs="Times New Roman" w:hint="cs"/>
          <w:b/>
          <w:bCs/>
          <w:sz w:val="28"/>
          <w:szCs w:val="28"/>
          <w:rtl/>
        </w:rPr>
        <w:t>"</w:t>
      </w:r>
      <w:r w:rsidRPr="005C6E3B">
        <w:rPr>
          <w:rFonts w:ascii="Times New Roman" w:hAnsi="Times New Roman" w:cs="Times New Roman"/>
          <w:b/>
          <w:bCs/>
          <w:sz w:val="28"/>
          <w:szCs w:val="28"/>
          <w:rtl/>
        </w:rPr>
        <w:t>.</w:t>
      </w:r>
    </w:p>
    <w:p w14:paraId="26C22E85" w14:textId="0AFCA46E" w:rsidR="005C6E3B" w:rsidRP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3-</w:t>
      </w:r>
      <w:r w:rsidRPr="005C6E3B">
        <w:rPr>
          <w:rFonts w:ascii="Times New Roman" w:hAnsi="Times New Roman" w:cs="Times New Roman"/>
          <w:b/>
          <w:bCs/>
          <w:sz w:val="28"/>
          <w:szCs w:val="28"/>
          <w:rtl/>
        </w:rPr>
        <w:t xml:space="preserve"> المقرر وفقا لنص المادة </w:t>
      </w:r>
      <w:bookmarkStart w:id="1" w:name="_Hlk219379245"/>
      <w:r w:rsidRPr="005C6E3B">
        <w:rPr>
          <w:rFonts w:ascii="Times New Roman" w:hAnsi="Times New Roman" w:cs="Times New Roman"/>
          <w:b/>
          <w:bCs/>
          <w:sz w:val="28"/>
          <w:szCs w:val="28"/>
          <w:rtl/>
        </w:rPr>
        <w:t>الثانية من قرار مجلس الوزراء رقم 48 لسنة 2023 بشأن اللائحة التنفيذية للمرسوم بقانون اتحادي رقم 49 لسنة 2022</w:t>
      </w:r>
      <w:bookmarkEnd w:id="1"/>
      <w:r w:rsidRPr="005C6E3B">
        <w:rPr>
          <w:rFonts w:ascii="Times New Roman" w:hAnsi="Times New Roman" w:cs="Times New Roman"/>
          <w:b/>
          <w:bCs/>
          <w:sz w:val="28"/>
          <w:szCs w:val="28"/>
          <w:rtl/>
        </w:rPr>
        <w:t xml:space="preserve"> بشأن الموارد البشرية في الحكومة الاتحادية أنه</w:t>
      </w:r>
      <w:r w:rsidRPr="005C6E3B">
        <w:rPr>
          <w:rFonts w:ascii="Times New Roman" w:hAnsi="Times New Roman" w:cs="Times New Roman" w:hint="cs"/>
          <w:b/>
          <w:bCs/>
          <w:sz w:val="28"/>
          <w:szCs w:val="28"/>
          <w:rtl/>
        </w:rPr>
        <w:t xml:space="preserve"> " 1-</w:t>
      </w:r>
      <w:r w:rsidRPr="005C6E3B">
        <w:rPr>
          <w:rFonts w:ascii="Times New Roman" w:hAnsi="Times New Roman" w:cs="Times New Roman"/>
          <w:b/>
          <w:bCs/>
          <w:sz w:val="28"/>
          <w:szCs w:val="28"/>
          <w:rtl/>
        </w:rPr>
        <w:t xml:space="preserve"> تُطبق أحكام هذا القرار على الموظفين المدنيين في الجهات الاتحادية، بما في ذلك الجهات التي نصت تشريعات إنشائها على وجود لوائح موارد بشرية مستقلة لها.</w:t>
      </w:r>
      <w:r w:rsidRPr="005C6E3B">
        <w:rPr>
          <w:rFonts w:ascii="Times New Roman" w:hAnsi="Times New Roman" w:cs="Times New Roman" w:hint="cs"/>
          <w:b/>
          <w:bCs/>
          <w:sz w:val="28"/>
          <w:szCs w:val="28"/>
          <w:rtl/>
        </w:rPr>
        <w:t xml:space="preserve"> 2-</w:t>
      </w:r>
      <w:r w:rsidRPr="005C6E3B">
        <w:rPr>
          <w:rFonts w:ascii="Times New Roman" w:hAnsi="Times New Roman" w:cs="Times New Roman"/>
          <w:b/>
          <w:bCs/>
          <w:sz w:val="28"/>
          <w:szCs w:val="28"/>
          <w:rtl/>
        </w:rPr>
        <w:t xml:space="preserve"> يُستثنى من تطبيق أحكام هذا القرار، الجهات الاتحادية وموظفوها التي يتم استثناؤها بقرار من مجلس الوزراء، وعلى أن يُحدد قرار الاستثناء الأحكام والالتزامات المترتبة على تلك الجهات، مع التزام هذه الجهات بتوفير البيانات الآنية للموارد البشرية العاملة لديها متضمنة الأجور والرواتب وكافة الإجراءات الخاصة بالموارد البشرية فيها، من خلال الربط مع الأنظمة المعتمدة لدى الهيئة.</w:t>
      </w:r>
      <w:r w:rsidRPr="005C6E3B">
        <w:rPr>
          <w:rFonts w:ascii="Times New Roman" w:hAnsi="Times New Roman" w:cs="Times New Roman" w:hint="cs"/>
          <w:b/>
          <w:bCs/>
          <w:sz w:val="28"/>
          <w:szCs w:val="28"/>
          <w:rtl/>
        </w:rPr>
        <w:t xml:space="preserve"> 3-</w:t>
      </w:r>
      <w:r w:rsidRPr="005C6E3B">
        <w:rPr>
          <w:rFonts w:ascii="Times New Roman" w:hAnsi="Times New Roman" w:cs="Times New Roman"/>
          <w:b/>
          <w:bCs/>
          <w:sz w:val="28"/>
          <w:szCs w:val="28"/>
          <w:rtl/>
        </w:rPr>
        <w:t xml:space="preserve"> تعتبر قرارات مجلس الوزراء الصادرة قبل صدور المرسوم بقانون اتحادي رقم (49) لسنة 2022 بشأن الموارد البشرية في الحكومة الاتحادية وهذا القرار، بشأن استثناء بعض الجهات الاتحادية من تطبيق قانون الموارد البشرية في الحكومة الاتحادية أو بعض أحكامه، سارية المفعول ما لم يقرر مجلس الوزراء خلاف ذلك</w:t>
      </w:r>
      <w:r w:rsidRPr="005C6E3B">
        <w:rPr>
          <w:rFonts w:ascii="Times New Roman" w:hAnsi="Times New Roman" w:cs="Times New Roman" w:hint="cs"/>
          <w:b/>
          <w:bCs/>
          <w:sz w:val="28"/>
          <w:szCs w:val="28"/>
          <w:rtl/>
        </w:rPr>
        <w:t>"</w:t>
      </w:r>
      <w:r w:rsidRPr="005C6E3B">
        <w:rPr>
          <w:rFonts w:ascii="Times New Roman" w:hAnsi="Times New Roman" w:cs="Times New Roman"/>
          <w:b/>
          <w:bCs/>
          <w:sz w:val="28"/>
          <w:szCs w:val="28"/>
          <w:rtl/>
        </w:rPr>
        <w:t>.</w:t>
      </w:r>
    </w:p>
    <w:p w14:paraId="027F5E2A" w14:textId="484E20F5" w:rsid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4-</w:t>
      </w:r>
      <w:r w:rsidRPr="005C6E3B">
        <w:rPr>
          <w:rFonts w:ascii="Times New Roman" w:hAnsi="Times New Roman" w:cs="Times New Roman"/>
          <w:b/>
          <w:bCs/>
          <w:sz w:val="28"/>
          <w:szCs w:val="28"/>
          <w:rtl/>
        </w:rPr>
        <w:t xml:space="preserve"> المقرر</w:t>
      </w:r>
      <w:r w:rsidRPr="005C6E3B">
        <w:rPr>
          <w:rFonts w:ascii="Times New Roman" w:hAnsi="Times New Roman" w:cs="Times New Roman" w:hint="cs"/>
          <w:b/>
          <w:bCs/>
          <w:sz w:val="28"/>
          <w:szCs w:val="28"/>
          <w:rtl/>
        </w:rPr>
        <w:t xml:space="preserve"> -</w:t>
      </w:r>
      <w:r w:rsidRPr="005C6E3B">
        <w:rPr>
          <w:rFonts w:ascii="Times New Roman" w:hAnsi="Times New Roman" w:cs="Times New Roman"/>
          <w:b/>
          <w:bCs/>
          <w:sz w:val="28"/>
          <w:szCs w:val="28"/>
          <w:rtl/>
        </w:rPr>
        <w:t xml:space="preserve"> في قضاء المحكمة</w:t>
      </w:r>
      <w:r>
        <w:rPr>
          <w:rFonts w:ascii="Times New Roman" w:hAnsi="Times New Roman" w:cs="Times New Roman" w:hint="cs"/>
          <w:b/>
          <w:bCs/>
          <w:sz w:val="28"/>
          <w:szCs w:val="28"/>
          <w:rtl/>
        </w:rPr>
        <w:t xml:space="preserve"> الاتحادية العليا</w:t>
      </w:r>
      <w:r w:rsidRPr="005C6E3B">
        <w:rPr>
          <w:rFonts w:ascii="Times New Roman" w:hAnsi="Times New Roman" w:cs="Times New Roman"/>
          <w:b/>
          <w:bCs/>
          <w:sz w:val="28"/>
          <w:szCs w:val="28"/>
          <w:rtl/>
        </w:rPr>
        <w:t xml:space="preserve"> </w:t>
      </w:r>
      <w:r w:rsidRPr="005C6E3B">
        <w:rPr>
          <w:rFonts w:ascii="Times New Roman" w:hAnsi="Times New Roman" w:cs="Times New Roman" w:hint="cs"/>
          <w:b/>
          <w:bCs/>
          <w:sz w:val="28"/>
          <w:szCs w:val="28"/>
          <w:rtl/>
        </w:rPr>
        <w:t xml:space="preserve">- </w:t>
      </w:r>
      <w:r w:rsidRPr="005C6E3B">
        <w:rPr>
          <w:rFonts w:ascii="Times New Roman" w:hAnsi="Times New Roman" w:cs="Times New Roman"/>
          <w:b/>
          <w:bCs/>
          <w:sz w:val="28"/>
          <w:szCs w:val="28"/>
          <w:rtl/>
        </w:rPr>
        <w:t>أن لجنة التظلمات تمارس نوعا من الولاية وتطبق أحكام القانون بما يتوجب معه لزوم سلوك الطريق الذي رسمه القانون من التظلم على قرار الجهة الإدارية أمام لجنة الاعتراضات لأنه محل ومناط الطعن، ومتى كان النص واضحا جلي المعنى قاطعا في الدلالة على المراد منه فإنه لا يجوز الخروج عليه أو تأويله إذ لا مساغ للاجتهاد في مورد نص قطعي الدلالة، ولما كان المشرع لم يعقد اختصاص المحكمة إلا بصدور قرار لجنة تظلمات الاعتراضات ومن ثم فإن رقابة قضاء المشروعية إنما تنصب على هذا القرار.</w:t>
      </w:r>
    </w:p>
    <w:p w14:paraId="6B4C2D6C" w14:textId="6DC80959" w:rsid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5-</w:t>
      </w:r>
      <w:r w:rsidRPr="005C6E3B">
        <w:rPr>
          <w:rFonts w:ascii="Times New Roman" w:hAnsi="Times New Roman" w:cs="Times New Roman"/>
          <w:b/>
          <w:bCs/>
          <w:sz w:val="28"/>
          <w:szCs w:val="28"/>
          <w:rtl/>
        </w:rPr>
        <w:t xml:space="preserve"> المقرر </w:t>
      </w:r>
      <w:r w:rsidRPr="005C6E3B">
        <w:rPr>
          <w:rFonts w:ascii="Times New Roman" w:hAnsi="Times New Roman" w:cs="Times New Roman" w:hint="cs"/>
          <w:b/>
          <w:bCs/>
          <w:sz w:val="28"/>
          <w:szCs w:val="28"/>
          <w:rtl/>
        </w:rPr>
        <w:t xml:space="preserve">- </w:t>
      </w:r>
      <w:r w:rsidRPr="005C6E3B">
        <w:rPr>
          <w:rFonts w:ascii="Times New Roman" w:hAnsi="Times New Roman" w:cs="Times New Roman"/>
          <w:b/>
          <w:bCs/>
          <w:sz w:val="28"/>
          <w:szCs w:val="28"/>
          <w:rtl/>
        </w:rPr>
        <w:t>وعلى ما جرى عليه قضاء المحكمة</w:t>
      </w:r>
      <w:r w:rsidRPr="005C6E3B">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 xml:space="preserve">الاتحادية العليا </w:t>
      </w:r>
      <w:r w:rsidRPr="005C6E3B">
        <w:rPr>
          <w:rFonts w:ascii="Times New Roman" w:hAnsi="Times New Roman" w:cs="Times New Roman" w:hint="cs"/>
          <w:b/>
          <w:bCs/>
          <w:sz w:val="28"/>
          <w:szCs w:val="28"/>
          <w:rtl/>
        </w:rPr>
        <w:t>-</w:t>
      </w:r>
      <w:r w:rsidRPr="005C6E3B">
        <w:rPr>
          <w:rFonts w:ascii="Times New Roman" w:hAnsi="Times New Roman" w:cs="Times New Roman"/>
          <w:b/>
          <w:bCs/>
          <w:sz w:val="28"/>
          <w:szCs w:val="28"/>
          <w:rtl/>
        </w:rPr>
        <w:t xml:space="preserve"> أن الأحكام يجب أن تكون مبنية على أسباب واضحة كافية تحمل الدليل على أن المحكمة بحثت النزاع المطروح أمامها بحثا دقيقا، وأنها محصت الأدلة التي قدمت إليها توصلا إلى ما ترى أنه الواقع في الدعوى، وأن الحقيقة التي استخلصتها واقتنعت بها قد قام فيها الدليل الذي يتطلبه القانون ويؤدي إلى النتيجة التي انتهى إليها، إضافة إلى اشتمال حكمها على ما يطمئن المطلع عليه أن المحكمة استنفدت كل ما في سلطتها من وسائل لكشف وجه الحق في الدعوى، وأن مخالفة ذلك تحسب عليها قصوراً يوجب نقض حكمها. </w:t>
      </w:r>
    </w:p>
    <w:p w14:paraId="2502BB3F" w14:textId="77777777" w:rsid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6-</w:t>
      </w:r>
      <w:r w:rsidRPr="005C6E3B">
        <w:rPr>
          <w:rFonts w:ascii="Times New Roman" w:hAnsi="Times New Roman" w:cs="Times New Roman"/>
          <w:b/>
          <w:bCs/>
          <w:sz w:val="28"/>
          <w:szCs w:val="28"/>
          <w:rtl/>
        </w:rPr>
        <w:t xml:space="preserve"> المقرر أن كل دفاع يدلي به الخصم لمحكمة الموضوع ويطلب إليها بطريق الجزم أن تفصل فيه ويكون الفصل فيه مما يجوز أن يترتب عليه </w:t>
      </w:r>
      <w:r w:rsidRPr="005C6E3B">
        <w:rPr>
          <w:rFonts w:ascii="Times New Roman" w:hAnsi="Times New Roman" w:cs="Times New Roman" w:hint="cs"/>
          <w:b/>
          <w:bCs/>
          <w:sz w:val="28"/>
          <w:szCs w:val="28"/>
          <w:rtl/>
        </w:rPr>
        <w:t xml:space="preserve">- </w:t>
      </w:r>
      <w:r w:rsidRPr="005C6E3B">
        <w:rPr>
          <w:rFonts w:ascii="Times New Roman" w:hAnsi="Times New Roman" w:cs="Times New Roman"/>
          <w:b/>
          <w:bCs/>
          <w:sz w:val="28"/>
          <w:szCs w:val="28"/>
          <w:rtl/>
        </w:rPr>
        <w:t>إن صح</w:t>
      </w:r>
      <w:r w:rsidRPr="005C6E3B">
        <w:rPr>
          <w:rFonts w:ascii="Times New Roman" w:hAnsi="Times New Roman" w:cs="Times New Roman" w:hint="cs"/>
          <w:b/>
          <w:bCs/>
          <w:sz w:val="28"/>
          <w:szCs w:val="28"/>
          <w:rtl/>
        </w:rPr>
        <w:t xml:space="preserve"> -</w:t>
      </w:r>
      <w:r w:rsidRPr="005C6E3B">
        <w:rPr>
          <w:rFonts w:ascii="Times New Roman" w:hAnsi="Times New Roman" w:cs="Times New Roman"/>
          <w:b/>
          <w:bCs/>
          <w:sz w:val="28"/>
          <w:szCs w:val="28"/>
          <w:rtl/>
        </w:rPr>
        <w:t xml:space="preserve"> تغير وجه الرأي في الدعوى، فيجب على المحكمة أن تبحثه، وأن تجيب عليه بأسباب خاصة إذ يعتبر عدم بحث مثل هذا الدفاع قصورا في أسباب الحكم الواقعية مما يترتب عليه البطلان.</w:t>
      </w:r>
    </w:p>
    <w:p w14:paraId="3211CC63" w14:textId="77777777" w:rsidR="00F2197C" w:rsidRDefault="00F2197C" w:rsidP="005C6E3B">
      <w:pPr>
        <w:spacing w:line="360" w:lineRule="auto"/>
        <w:ind w:firstLine="630"/>
        <w:jc w:val="both"/>
        <w:rPr>
          <w:rFonts w:ascii="Times New Roman" w:hAnsi="Times New Roman" w:cs="Times New Roman"/>
          <w:b/>
          <w:bCs/>
          <w:sz w:val="28"/>
          <w:szCs w:val="28"/>
          <w:rtl/>
        </w:rPr>
      </w:pPr>
    </w:p>
    <w:p w14:paraId="38CC23DF" w14:textId="404A58DF" w:rsidR="00F2197C" w:rsidRDefault="00F2197C" w:rsidP="005C6E3B">
      <w:pPr>
        <w:spacing w:line="360" w:lineRule="auto"/>
        <w:ind w:firstLine="630"/>
        <w:jc w:val="both"/>
        <w:rPr>
          <w:rFonts w:ascii="Times New Roman" w:hAnsi="Times New Roman" w:cs="Times New Roman"/>
          <w:b/>
          <w:bCs/>
          <w:sz w:val="28"/>
          <w:szCs w:val="28"/>
          <w:rtl/>
        </w:rPr>
      </w:pPr>
    </w:p>
    <w:p w14:paraId="608D704B" w14:textId="77777777" w:rsidR="00F2197C" w:rsidRDefault="00F2197C" w:rsidP="005C6E3B">
      <w:pPr>
        <w:spacing w:line="360" w:lineRule="auto"/>
        <w:ind w:firstLine="630"/>
        <w:jc w:val="both"/>
        <w:rPr>
          <w:rFonts w:ascii="Times New Roman" w:hAnsi="Times New Roman" w:cs="Times New Roman"/>
          <w:b/>
          <w:bCs/>
          <w:sz w:val="28"/>
          <w:szCs w:val="28"/>
          <w:rtl/>
        </w:rPr>
      </w:pPr>
    </w:p>
    <w:p w14:paraId="2571E702" w14:textId="77777777" w:rsid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7- </w:t>
      </w:r>
      <w:r w:rsidRPr="005C6E3B">
        <w:rPr>
          <w:rFonts w:ascii="Times New Roman" w:hAnsi="Times New Roman" w:cs="Times New Roman"/>
          <w:b/>
          <w:bCs/>
          <w:sz w:val="28"/>
          <w:szCs w:val="28"/>
          <w:rtl/>
        </w:rPr>
        <w:t xml:space="preserve">المقرر </w:t>
      </w:r>
      <w:r>
        <w:rPr>
          <w:rFonts w:ascii="Times New Roman" w:hAnsi="Times New Roman" w:cs="Times New Roman" w:hint="cs"/>
          <w:b/>
          <w:bCs/>
          <w:sz w:val="28"/>
          <w:szCs w:val="28"/>
          <w:rtl/>
        </w:rPr>
        <w:t xml:space="preserve">- </w:t>
      </w:r>
      <w:r w:rsidRPr="005C6E3B">
        <w:rPr>
          <w:rFonts w:ascii="Times New Roman" w:hAnsi="Times New Roman" w:cs="Times New Roman"/>
          <w:b/>
          <w:bCs/>
          <w:sz w:val="28"/>
          <w:szCs w:val="28"/>
          <w:rtl/>
        </w:rPr>
        <w:t>في قضاء المحكمة</w:t>
      </w:r>
      <w:r>
        <w:rPr>
          <w:rFonts w:ascii="Times New Roman" w:hAnsi="Times New Roman" w:cs="Times New Roman" w:hint="cs"/>
          <w:b/>
          <w:bCs/>
          <w:sz w:val="28"/>
          <w:szCs w:val="28"/>
          <w:rtl/>
        </w:rPr>
        <w:t xml:space="preserve"> الاتحادية العليا -</w:t>
      </w:r>
      <w:r w:rsidRPr="005C6E3B">
        <w:rPr>
          <w:rFonts w:ascii="Times New Roman" w:hAnsi="Times New Roman" w:cs="Times New Roman"/>
          <w:b/>
          <w:bCs/>
          <w:sz w:val="28"/>
          <w:szCs w:val="28"/>
          <w:rtl/>
        </w:rPr>
        <w:t xml:space="preserve"> أن الدفاع الجوهري للخصوم والذي قد يتغير معه وجه الرأي في الدعوى يوجب على المحكمة تحقيقه إيرادا وردا</w:t>
      </w:r>
      <w:r>
        <w:rPr>
          <w:rFonts w:ascii="Times New Roman" w:hAnsi="Times New Roman" w:cs="Times New Roman" w:hint="cs"/>
          <w:b/>
          <w:bCs/>
          <w:sz w:val="28"/>
          <w:szCs w:val="28"/>
          <w:rtl/>
        </w:rPr>
        <w:t>.</w:t>
      </w:r>
    </w:p>
    <w:p w14:paraId="647782F8" w14:textId="34173E3B" w:rsidR="005C6E3B" w:rsidRPr="005C6E3B" w:rsidRDefault="005C6E3B" w:rsidP="005C6E3B">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8- لما كان ذلك</w:t>
      </w:r>
      <w:r w:rsidRPr="005C6E3B">
        <w:rPr>
          <w:rFonts w:ascii="Times New Roman" w:hAnsi="Times New Roman" w:cs="Times New Roman"/>
          <w:b/>
          <w:bCs/>
          <w:sz w:val="28"/>
          <w:szCs w:val="28"/>
          <w:rtl/>
        </w:rPr>
        <w:t xml:space="preserve"> وكان الطاعن منذ فجر إقامة الدعوى تمسك بدفاعه بعدم قبول الدعوى دون اللجوء إلى لجنة الاعتراضات إلا أن الحكم المطعون فيه اختزل القول في أن حكم محكمة أول درجة تكفل بالرد على هذا الدفع – بما يكون معه حجب نفسه عن التصدي لهذا الدفع ولم يرد عليه بأسباب خاصة إذ يعتبر عدم بحث مثل هذا الدفع قصوراً في أسباب الحكم الواقعية مما يترتب عليه البطلان، إذ كان عليه أن يستدل استدلالاً صحيحا بما ورد بمضمونه وإلا كان مشوبا بالإخلال بحق الدفاع وفساد الاستدلال الذي لا يعدو أن يكون وجهاً من أوجه مخالفة القانون بما يوجب نقضه مع الإحالة دون بحث باقي ما استدل به.  </w:t>
      </w:r>
    </w:p>
    <w:p w14:paraId="7212F966" w14:textId="77777777" w:rsidR="008B7D12" w:rsidRDefault="008B7D12" w:rsidP="008B7D12">
      <w:pPr>
        <w:spacing w:line="360" w:lineRule="auto"/>
        <w:jc w:val="center"/>
        <w:rPr>
          <w:rFonts w:ascii="Times New Roman" w:hAnsi="Times New Roman" w:cs="Times New Roman"/>
          <w:b/>
          <w:bCs/>
          <w:sz w:val="32"/>
          <w:rtl/>
        </w:rPr>
      </w:pPr>
      <w:r w:rsidRPr="008B182E">
        <w:rPr>
          <w:rFonts w:ascii="Times New Roman" w:hAnsi="Times New Roman" w:cs="Times New Roman"/>
          <w:b/>
          <w:bCs/>
          <w:sz w:val="32"/>
          <w:rtl/>
        </w:rPr>
        <w:t>المحكمة</w:t>
      </w:r>
    </w:p>
    <w:p w14:paraId="544A4262" w14:textId="12F2EA39" w:rsidR="00F2197C" w:rsidRDefault="00F2197C" w:rsidP="008B7D12">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w:t>
      </w:r>
    </w:p>
    <w:p w14:paraId="6A15D33B" w14:textId="77777777" w:rsidR="00F2197C" w:rsidRPr="008B182E" w:rsidRDefault="00F2197C" w:rsidP="008B7D12">
      <w:pPr>
        <w:spacing w:line="360" w:lineRule="auto"/>
        <w:jc w:val="center"/>
        <w:rPr>
          <w:rFonts w:ascii="Times New Roman" w:hAnsi="Times New Roman" w:cs="Times New Roman"/>
          <w:b/>
          <w:bCs/>
          <w:sz w:val="32"/>
          <w:rtl/>
        </w:rPr>
      </w:pPr>
    </w:p>
    <w:p w14:paraId="07A830B3" w14:textId="77777777" w:rsidR="008B7D12" w:rsidRPr="008B7D12" w:rsidRDefault="008B7D12" w:rsidP="008B7D12">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بعد الاطلاع على الأوراق وتلاوة تقرير التلخيص والمداولة قانوناً.</w:t>
      </w:r>
    </w:p>
    <w:p w14:paraId="7801202F" w14:textId="636907B5" w:rsidR="008B7D12" w:rsidRPr="008B7D12" w:rsidRDefault="008B7D12" w:rsidP="00DE4363">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وحيث إن الوقائع تتحصل حسبما يبين من الحكم المطعون فيه وسائر أوراق الطعن في أن المطعون ضده </w:t>
      </w:r>
      <w:r w:rsidR="00DE4363">
        <w:rPr>
          <w:rFonts w:asciiTheme="majorBidi" w:hAnsiTheme="majorBidi" w:cstheme="majorBidi" w:hint="cs"/>
          <w:sz w:val="32"/>
          <w:rtl/>
        </w:rPr>
        <w:t>(</w:t>
      </w:r>
      <w:r w:rsidRPr="008B7D12">
        <w:rPr>
          <w:rFonts w:asciiTheme="majorBidi" w:hAnsiTheme="majorBidi" w:cstheme="majorBidi"/>
          <w:sz w:val="32"/>
          <w:rtl/>
        </w:rPr>
        <w:t>المدعي</w:t>
      </w:r>
      <w:r w:rsidR="00DE4363">
        <w:rPr>
          <w:rFonts w:asciiTheme="majorBidi" w:hAnsiTheme="majorBidi" w:cstheme="majorBidi" w:hint="cs"/>
          <w:sz w:val="32"/>
          <w:rtl/>
        </w:rPr>
        <w:t xml:space="preserve">) </w:t>
      </w:r>
      <w:r w:rsidRPr="008B7D12">
        <w:rPr>
          <w:rFonts w:asciiTheme="majorBidi" w:hAnsiTheme="majorBidi" w:cstheme="majorBidi"/>
          <w:sz w:val="32"/>
          <w:rtl/>
        </w:rPr>
        <w:t>كان قد أقام الدعوى رقم 9 لسنة 2025 بموجب صحيفة أودعت مكتب إدارة الدعوى بتاريخ 1/2025/8 التمس فيها 1-</w:t>
      </w:r>
      <w:r w:rsidRPr="008B7D12">
        <w:rPr>
          <w:rFonts w:asciiTheme="majorBidi" w:hAnsiTheme="majorBidi" w:cstheme="majorBidi"/>
          <w:sz w:val="32"/>
        </w:rPr>
        <w:t xml:space="preserve"> </w:t>
      </w:r>
      <w:r w:rsidRPr="008B7D12">
        <w:rPr>
          <w:rFonts w:asciiTheme="majorBidi" w:hAnsiTheme="majorBidi" w:cstheme="majorBidi"/>
          <w:sz w:val="32"/>
          <w:rtl/>
        </w:rPr>
        <w:t>الحكم بقبول الدعوى شكلاً</w:t>
      </w:r>
      <w:r w:rsidRPr="008B7D12">
        <w:rPr>
          <w:rFonts w:asciiTheme="majorBidi" w:hAnsiTheme="majorBidi" w:cstheme="majorBidi"/>
          <w:sz w:val="32"/>
        </w:rPr>
        <w:t>.</w:t>
      </w:r>
      <w:r w:rsidRPr="008B7D12">
        <w:rPr>
          <w:rFonts w:asciiTheme="majorBidi" w:hAnsiTheme="majorBidi" w:cstheme="majorBidi"/>
          <w:sz w:val="32"/>
          <w:rtl/>
        </w:rPr>
        <w:t xml:space="preserve"> 2- الحكم بإلغاء القرار الإداري المؤرخ 11/11/2024 بإنهاء خدمة المدعي لمخالفته للقانون، ولعدم مشروعيته، ولانعدام سنده وسببه والمُختص بإصداره، وعدم ملاءمته، وكذلك للتعسف والإجحاف بالمدعي وإنهاء خدمته بذات يوم إصدار القرار، فضلاً عن عدم مراعاة الظروف الصحية والمرضية التي لحقت بالمدعى. 3- الحكم بإلغاء القرار الإداري المؤرخ 11/11/2024 بإنهاء خدمة المدعي، والقضاء بإعادته إلى وظيفته بذات الدرجة والامتيازات المُقررة لها، وصرف كافة رواتبه وبدلاته منذ 11/11/2024 وحتى تاريخ إعادته للخدمة.</w:t>
      </w:r>
      <w:r w:rsidR="00DE4363">
        <w:rPr>
          <w:rFonts w:asciiTheme="majorBidi" w:hAnsiTheme="majorBidi" w:cstheme="majorBidi" w:hint="cs"/>
          <w:sz w:val="32"/>
          <w:rtl/>
        </w:rPr>
        <w:t xml:space="preserve"> </w:t>
      </w:r>
      <w:r w:rsidRPr="008B7D12">
        <w:rPr>
          <w:rFonts w:asciiTheme="majorBidi" w:hAnsiTheme="majorBidi" w:cstheme="majorBidi"/>
          <w:sz w:val="32"/>
          <w:rtl/>
        </w:rPr>
        <w:t xml:space="preserve">4- الحكم بإلزام المدعى عليه بأن يؤدي للمدعي مبلغ 5,000,000 درهم "خمسة ملايين درهم" كتعويض جابر لكافة الأضرار المادية والأدبية التي لحقت به والأذى النفسي الذي تعرَّض له بسبب الإجحاف به وبحقوقه والإهانة التي تعرّض لها لإنهاء خدماته بذات يوم اتخاذ القرار بإنهائها دون مراعاة ظروفه المرضية، وهو ما أدى إلى تدهور حالته الصحية </w:t>
      </w:r>
      <w:r w:rsidRPr="008B7D12">
        <w:rPr>
          <w:rFonts w:asciiTheme="majorBidi" w:hAnsiTheme="majorBidi" w:cstheme="majorBidi"/>
          <w:sz w:val="32"/>
          <w:rtl/>
        </w:rPr>
        <w:lastRenderedPageBreak/>
        <w:t>والنفسية بشكل كبير بسبب انقطاع مورد رزقه والتعسف في إنهاء خدمته مما ألحق به أبلغ الضرر مادياً ونفسياً ويستوجب التعويض عنه.</w:t>
      </w:r>
      <w:r w:rsidR="00DE4363">
        <w:rPr>
          <w:rFonts w:asciiTheme="majorBidi" w:hAnsiTheme="majorBidi" w:cstheme="majorBidi" w:hint="cs"/>
          <w:sz w:val="32"/>
          <w:rtl/>
        </w:rPr>
        <w:t xml:space="preserve"> </w:t>
      </w:r>
      <w:r w:rsidRPr="008B7D12">
        <w:rPr>
          <w:rFonts w:asciiTheme="majorBidi" w:hAnsiTheme="majorBidi" w:cstheme="majorBidi"/>
          <w:sz w:val="32"/>
          <w:rtl/>
        </w:rPr>
        <w:t>5- احتياطياً: الحكم بتعديل القرار المطعون فيه و/أو بتكليف جهة الإدارة بتعديله إلى الاكتفاء بجزاء لفت النظر الشفهي أو الخطي، مع الحكم بإعادة المدعي إلى وظيفته بذات الدرجة والامتيازات المُقررة لها.</w:t>
      </w:r>
      <w:r w:rsidR="00DE4363">
        <w:rPr>
          <w:rFonts w:asciiTheme="majorBidi" w:hAnsiTheme="majorBidi" w:cstheme="majorBidi" w:hint="cs"/>
          <w:sz w:val="32"/>
          <w:rtl/>
        </w:rPr>
        <w:t xml:space="preserve"> </w:t>
      </w:r>
      <w:r w:rsidRPr="008B7D12">
        <w:rPr>
          <w:rFonts w:asciiTheme="majorBidi" w:hAnsiTheme="majorBidi" w:cstheme="majorBidi"/>
          <w:sz w:val="32"/>
          <w:rtl/>
        </w:rPr>
        <w:t xml:space="preserve">6- احتياطياً كلياً: ندب خبير مُتخصص في الموارد البشرية للاطلاع على أوراق الدعوى ومستنداتها، والانتقال إلى مقرّ المدعى عليه للوقوف على اللوائح والسياسات الداخلية المعمول بها، وبيان ظروف إنهاء خدمة المدعي، وما إذا كانت المخالفة المنسوبة إليه تستدعي إنهاء خدمته أم جزاء إدارياً أخفّ وطأة، ومدى تأثير الحالة الصحية للمدعي في المخالفة الوظيفية المنسوبة إليه، وبيان كافة حقوقه و مستحقاته، وكذلك تقدير الخسائر والأضرار التي لحقت بالمدعى بسبب التعسّف في إنهاء خدمته وتدهــــور حالته الصحية والنفسية تبعاً لذلك، وبالإجمال بيان وجه الحق في الدعوى </w:t>
      </w:r>
      <w:r w:rsidR="00DE4363">
        <w:rPr>
          <w:rFonts w:asciiTheme="majorBidi" w:hAnsiTheme="majorBidi" w:cstheme="majorBidi"/>
          <w:sz w:val="32"/>
          <w:rtl/>
        </w:rPr>
        <w:t>–</w:t>
      </w:r>
      <w:r w:rsidR="00DE4363">
        <w:rPr>
          <w:rFonts w:asciiTheme="majorBidi" w:hAnsiTheme="majorBidi" w:cstheme="majorBidi" w:hint="cs"/>
          <w:sz w:val="32"/>
          <w:rtl/>
        </w:rPr>
        <w:t xml:space="preserve"> </w:t>
      </w:r>
      <w:r w:rsidRPr="008B7D12">
        <w:rPr>
          <w:rFonts w:asciiTheme="majorBidi" w:hAnsiTheme="majorBidi" w:cstheme="majorBidi"/>
          <w:sz w:val="32"/>
          <w:rtl/>
        </w:rPr>
        <w:t>وبالنتيجة</w:t>
      </w:r>
      <w:r w:rsidR="00DE4363">
        <w:rPr>
          <w:rFonts w:asciiTheme="majorBidi" w:hAnsiTheme="majorBidi" w:cstheme="majorBidi" w:hint="cs"/>
          <w:sz w:val="32"/>
          <w:rtl/>
        </w:rPr>
        <w:t xml:space="preserve"> </w:t>
      </w:r>
      <w:r w:rsidRPr="008B7D12">
        <w:rPr>
          <w:rFonts w:asciiTheme="majorBidi" w:hAnsiTheme="majorBidi" w:cstheme="majorBidi"/>
          <w:sz w:val="32"/>
          <w:rtl/>
        </w:rPr>
        <w:t>– القضاء للمدعي بطلباته المبينة أعلاه.</w:t>
      </w:r>
      <w:r w:rsidR="00DE4363">
        <w:rPr>
          <w:rFonts w:asciiTheme="majorBidi" w:hAnsiTheme="majorBidi" w:cstheme="majorBidi" w:hint="cs"/>
          <w:sz w:val="32"/>
          <w:rtl/>
        </w:rPr>
        <w:t xml:space="preserve"> </w:t>
      </w:r>
      <w:r w:rsidRPr="008B7D12">
        <w:rPr>
          <w:rFonts w:asciiTheme="majorBidi" w:hAnsiTheme="majorBidi" w:cstheme="majorBidi"/>
          <w:sz w:val="32"/>
          <w:rtl/>
        </w:rPr>
        <w:t>7- إلزام المدعى عليه بالرسوم والمصروفات ومقابل أتعاب المحاماة.</w:t>
      </w:r>
    </w:p>
    <w:p w14:paraId="55D1B394" w14:textId="6AD74D6D" w:rsidR="008B7D12" w:rsidRDefault="008B7D12" w:rsidP="00DE4363">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وقال المدعي شرحا لدعواه إنه بتاريخ 26/07/2017 التحق بالعمل لدى المدعى عليه بوظيفة مدير إدارة براتب إجمالي 46,104 دراهم، علماً بأن المدعي تدرّج في وظيفته حتى أصبح مديراً مساعداً مسؤولاً عن الأداء المؤسسي براتب إجمالي قدره 66,700 درهم، وتضمّن عقد العمل المذكور في البند الخامس فقرة "2، 3" منه تمديد العقد بشكل تلقائي بين الطرفين، وفي حال إنهائه من قبل أي طرف يجب على الطرف الراغب في الإنهاء إخطار الطرف الآخر كتابياً قبل آخر يوم عمل بـ</w:t>
      </w:r>
      <w:r>
        <w:rPr>
          <w:rFonts w:asciiTheme="majorBidi" w:hAnsiTheme="majorBidi" w:cstheme="majorBidi" w:hint="cs"/>
          <w:sz w:val="32"/>
          <w:rtl/>
        </w:rPr>
        <w:t xml:space="preserve"> </w:t>
      </w:r>
      <w:r w:rsidRPr="008B7D12">
        <w:rPr>
          <w:rFonts w:asciiTheme="majorBidi" w:hAnsiTheme="majorBidi" w:cstheme="majorBidi"/>
          <w:sz w:val="32"/>
          <w:rtl/>
        </w:rPr>
        <w:t>"3" أشهر،</w:t>
      </w:r>
      <w:r w:rsidR="00DE4363">
        <w:rPr>
          <w:rFonts w:asciiTheme="majorBidi" w:hAnsiTheme="majorBidi" w:cstheme="majorBidi" w:hint="cs"/>
          <w:sz w:val="32"/>
          <w:rtl/>
        </w:rPr>
        <w:t xml:space="preserve"> </w:t>
      </w:r>
      <w:r w:rsidRPr="008B7D12">
        <w:rPr>
          <w:rFonts w:asciiTheme="majorBidi" w:hAnsiTheme="majorBidi" w:cstheme="majorBidi"/>
          <w:sz w:val="32"/>
          <w:rtl/>
        </w:rPr>
        <w:t xml:space="preserve">وبتاريخ 11/11/2024 فوجئ المدعي بصدور قرار بإنهاء خدمته على أن يكون آخر يوم عمل له هو ذات يوم إنهاء الخدمة 11/11/2024، وبتاريخ 27/11/2024 تظلّم المدعي من القرار المذكور باعتباره جاء مخالفاً للقانون، وبتاريخ 09/12/2024 أصدر </w:t>
      </w:r>
      <w:r w:rsidR="00F2197C">
        <w:rPr>
          <w:rFonts w:asciiTheme="majorBidi" w:hAnsiTheme="majorBidi" w:cstheme="majorBidi" w:hint="cs"/>
          <w:sz w:val="32"/>
          <w:rtl/>
        </w:rPr>
        <w:t>......</w:t>
      </w:r>
      <w:r w:rsidRPr="008B7D12">
        <w:rPr>
          <w:rFonts w:asciiTheme="majorBidi" w:hAnsiTheme="majorBidi" w:cstheme="majorBidi"/>
          <w:sz w:val="32"/>
          <w:rtl/>
        </w:rPr>
        <w:t xml:space="preserve"> المدعى عليه قرارا برفض التظلم، وبتاريخ 12/12/2024 تقدم المدعي باعتراض على القرار برفض تظلمه، ولم يتم البتّ فيه حتى تاريخه وهو ما يُعتبر رفضاً ضمنيا للاعتراض، ولما كان القرار الصادر بإنهاء خدمة المدعي قد جاء مخالفاً للقانون و مُجحفاً بحقوقه، وألحق به أضرارا بليغة بسبب انقطاع مورد رزقه الوحيد، فقد أقام هذه الدعوى وخلص المدعي في ختام الصحيفة الى طلباته سالفة البيان. </w:t>
      </w:r>
    </w:p>
    <w:p w14:paraId="159B8B29" w14:textId="77777777" w:rsidR="00F2197C" w:rsidRDefault="00F2197C" w:rsidP="00DE4363">
      <w:pPr>
        <w:spacing w:line="360" w:lineRule="auto"/>
        <w:ind w:firstLine="503"/>
        <w:jc w:val="both"/>
        <w:rPr>
          <w:rFonts w:asciiTheme="majorBidi" w:hAnsiTheme="majorBidi" w:cstheme="majorBidi"/>
          <w:sz w:val="32"/>
          <w:rtl/>
        </w:rPr>
      </w:pPr>
    </w:p>
    <w:p w14:paraId="3DCE542D" w14:textId="77777777" w:rsidR="00F2197C" w:rsidRDefault="00F2197C" w:rsidP="00DE4363">
      <w:pPr>
        <w:spacing w:line="360" w:lineRule="auto"/>
        <w:ind w:firstLine="503"/>
        <w:jc w:val="both"/>
        <w:rPr>
          <w:rFonts w:asciiTheme="majorBidi" w:hAnsiTheme="majorBidi" w:cstheme="majorBidi"/>
          <w:sz w:val="32"/>
          <w:rtl/>
        </w:rPr>
      </w:pPr>
    </w:p>
    <w:p w14:paraId="61758738" w14:textId="77777777" w:rsidR="00F2197C" w:rsidRPr="008B7D12" w:rsidRDefault="00F2197C" w:rsidP="00DE4363">
      <w:pPr>
        <w:spacing w:line="360" w:lineRule="auto"/>
        <w:ind w:firstLine="503"/>
        <w:jc w:val="both"/>
        <w:rPr>
          <w:rFonts w:asciiTheme="majorBidi" w:hAnsiTheme="majorBidi" w:cstheme="majorBidi"/>
          <w:sz w:val="32"/>
          <w:rtl/>
        </w:rPr>
      </w:pPr>
    </w:p>
    <w:p w14:paraId="68E30CBB" w14:textId="77777777" w:rsidR="008B7D12" w:rsidRPr="008B7D12" w:rsidRDefault="008B7D12" w:rsidP="008B7D12">
      <w:pPr>
        <w:widowControl w:val="0"/>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وبجلسة 27/5/2025 حكمت المحكمة: بإلغاء القرار المطعون فيه مع ما يترتب على ذلك من آثار، وبرفض ما عدا ذلك من طلبات، وألزمت طرفي الخصومة المصاريف مناصفة.  </w:t>
      </w:r>
    </w:p>
    <w:p w14:paraId="79A81C4E" w14:textId="70D52D74" w:rsidR="008B7D12" w:rsidRPr="008B7D12" w:rsidRDefault="008B7D12" w:rsidP="00DE4363">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وإذ لم يرتض الطاعن هذا الحكم فقد طعن عليه بالاستئناف رقم 158 لسنة 2025 وبجلسة 10/9/2025 حكمت محكمة ثاني درجة: أولاً بقبول الاستئناف رقم 158 لسنة 2025 شكلاً وفي الموضوع برفضه وبتأييد حكم محكمة أول درجة وألزمت المستأنف المصروفات. ثانياً: بقبول الاستئناف رقم 161 لسنة 2025 شكلاً وبإلغاء الحكم المستأنف فيما قضى به من رفض طلب التعويض والقضاء مجددا بالزام </w:t>
      </w:r>
      <w:r w:rsidR="00F2197C">
        <w:rPr>
          <w:rFonts w:asciiTheme="majorBidi" w:hAnsiTheme="majorBidi" w:cstheme="majorBidi" w:hint="cs"/>
          <w:sz w:val="32"/>
          <w:rtl/>
        </w:rPr>
        <w:t>.........</w:t>
      </w:r>
      <w:r w:rsidRPr="008B7D12">
        <w:rPr>
          <w:rFonts w:asciiTheme="majorBidi" w:hAnsiTheme="majorBidi" w:cstheme="majorBidi"/>
          <w:sz w:val="32"/>
          <w:rtl/>
        </w:rPr>
        <w:t xml:space="preserve"> بأن يؤدي للمستأنف تعويضا عن الأضرار المادية والنفسية بمبلغ 200000 درهم (مائتي ألف درهم) وبرفض ما عدا ذلك. </w:t>
      </w:r>
    </w:p>
    <w:p w14:paraId="4152C78F" w14:textId="4B069A55" w:rsidR="008B7D12" w:rsidRPr="008B7D12" w:rsidRDefault="008B7D12" w:rsidP="008B7D12">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  لم يلق هذا القضاء قبولا لدى المستأنفة، فطعنت عليه بالنقض الماثل، وأذ عرض الطعن في غرفة المشورة ارتأت المحكمة جدارته للنظر في جلسة فتم نظره على النحو الوارد بمحاضر الجلسات، وحددت جلسة اليوم للنطق بالحكم.  </w:t>
      </w:r>
    </w:p>
    <w:p w14:paraId="1FBE9018" w14:textId="77777777" w:rsidR="008B7D12" w:rsidRPr="008B7D12" w:rsidRDefault="008B7D12" w:rsidP="008B7D12">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 وحيث إن حاصل ما ينعاه الطاعن على الحكم المطعون فيه بالسبب الأول الخطأ في تطبيق القانون وتفسيره ومخالفته الثابت بالأوراق بقالة المطعون ضده بالطعن على قرار إنهاء الخدمة أمام محكمة أبوظبي الابتدائية مباشرة دون اللجوء إلى لجنة الاعتراضات المنصوص عليها في المادة (44) من المرسوم بقانون اتحادي رقم (49) لسنة 2022 بشأن الموارد البشرية في الحكومة الاتحادية، وقد تم رفض هذا الدفع الذي تم إثارته أمام محكمة أول درجة والاستئناف، وإن ما خلص إليه الحكم المطعون فيه لا يستقيم مع صحيح القانون وواقع الأوراق، إذ إن المادة (2) من المرسوم بقانون اتحادي رقم (49) لسنة 2022 بشأن الموارد البشرية في الحكومة الاتحادية نصّت صراحة على سريان أحكامه على "الموظفين المدنيين في الجهات الاتحادية، بما في ذلك الجهات التي نصت تشريعات إنشائها على وجود لوائح موارد بشرية مستقلة له"، ونصت المادة (44) من المرسوم بقانون المشار إليه على أنه: "لا تقبل الدعوى المرفوعة من الموظف أمام القضاء استنادًا لأحكام هذا المرسوم بقانون أو لائحته التنفيذية أو القرارات الصادرة تنفيذًا لهما، إذا لم يسبقها اللجوء إلى لجنة التظلمات </w:t>
      </w:r>
      <w:r w:rsidRPr="008B7D12">
        <w:rPr>
          <w:rFonts w:asciiTheme="majorBidi" w:hAnsiTheme="majorBidi" w:cstheme="majorBidi"/>
          <w:sz w:val="32"/>
          <w:rtl/>
        </w:rPr>
        <w:lastRenderedPageBreak/>
        <w:t xml:space="preserve">ولجنة الاعتراضات خلال المدد ووفق الإجراءات والشروط التي تُحددها اللائحة التنفيذية مما يستوجب نقضه. </w:t>
      </w:r>
    </w:p>
    <w:p w14:paraId="69A40B69" w14:textId="577DC3F7" w:rsidR="008B7D12" w:rsidRPr="008B7D12" w:rsidRDefault="008B7D12" w:rsidP="00E24A0B">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وحيث إن هذا النعي سديد ذلك أن </w:t>
      </w:r>
      <w:bookmarkStart w:id="2" w:name="_Hlk219377022"/>
      <w:r w:rsidRPr="008B7D12">
        <w:rPr>
          <w:rFonts w:asciiTheme="majorBidi" w:hAnsiTheme="majorBidi" w:cstheme="majorBidi"/>
          <w:sz w:val="32"/>
          <w:rtl/>
        </w:rPr>
        <w:t>المقرر بنص المادة الثانية من مرسوم بقانون رقم 49/2022 بشان الموارد البشرية في الحكومة الاتحادية نصت على  أنه "</w:t>
      </w:r>
      <w:r w:rsidR="00E24A0B">
        <w:rPr>
          <w:rFonts w:asciiTheme="majorBidi" w:hAnsiTheme="majorBidi" w:cstheme="majorBidi" w:hint="cs"/>
          <w:sz w:val="32"/>
          <w:rtl/>
        </w:rPr>
        <w:t>1-</w:t>
      </w:r>
      <w:r w:rsidRPr="008B7D12">
        <w:rPr>
          <w:rFonts w:asciiTheme="majorBidi" w:hAnsiTheme="majorBidi" w:cstheme="majorBidi"/>
          <w:sz w:val="32"/>
          <w:rtl/>
        </w:rPr>
        <w:t xml:space="preserve"> تُطبق أحكام هذا المرسوم بقانون على الموظفين المدنيين في الجهات الاتحادية، بما في ذلك الجهات التي نصت تشريعات إنشائها على وجود لوائح موارد بشرية مستقلة لها.</w:t>
      </w:r>
      <w:r w:rsidR="00E24A0B">
        <w:rPr>
          <w:rFonts w:asciiTheme="majorBidi" w:hAnsiTheme="majorBidi" w:cstheme="majorBidi" w:hint="cs"/>
          <w:sz w:val="32"/>
          <w:rtl/>
        </w:rPr>
        <w:t xml:space="preserve"> </w:t>
      </w:r>
      <w:r w:rsidR="005C6E3B">
        <w:rPr>
          <w:rFonts w:asciiTheme="majorBidi" w:hAnsiTheme="majorBidi" w:cstheme="majorBidi" w:hint="cs"/>
          <w:sz w:val="32"/>
          <w:rtl/>
        </w:rPr>
        <w:t>2-</w:t>
      </w:r>
      <w:r w:rsidRPr="008B7D12">
        <w:rPr>
          <w:rFonts w:asciiTheme="majorBidi" w:hAnsiTheme="majorBidi" w:cstheme="majorBidi"/>
          <w:sz w:val="32"/>
          <w:rtl/>
        </w:rPr>
        <w:t xml:space="preserve">  يُستثنى من تطبيق أحكام هذا المرسوم بقانون، الجهات الاتحادية وموظفيها، التي يتم استثناؤها من أحكام هذا المرسوم بقانون بقرار من مجلس الوزراء، وعلى أن يحدد قرار الاستثناء الأحكام والالتزامات المترتبة على تلك الجهات، مع التزام هذه الجهات بتوفير البيانات الآنية للموارد البشرية العاملة لديها متضمنة الأجور والرواتب وكافة الإجراءات الخاصة بالموارد البشرية، من خلال الربط مع الأنظمة المعتمدة لدى الهيئة".</w:t>
      </w:r>
    </w:p>
    <w:p w14:paraId="779E0232" w14:textId="05444CB3" w:rsidR="008B7D12" w:rsidRPr="008B7D12" w:rsidRDefault="008B7D12" w:rsidP="005C6E3B">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وكان من المقرر أيضا وفقا لنص المادة الرابعة والأربعين من مرسوم بقانون الآنف الذكر أنه </w:t>
      </w:r>
      <w:r w:rsidR="005C6E3B">
        <w:rPr>
          <w:rFonts w:asciiTheme="majorBidi" w:hAnsiTheme="majorBidi" w:cstheme="majorBidi" w:hint="cs"/>
          <w:sz w:val="32"/>
          <w:rtl/>
        </w:rPr>
        <w:t>"</w:t>
      </w:r>
      <w:r w:rsidRPr="008B7D12">
        <w:rPr>
          <w:rFonts w:asciiTheme="majorBidi" w:hAnsiTheme="majorBidi" w:cstheme="majorBidi"/>
          <w:sz w:val="32"/>
          <w:rtl/>
        </w:rPr>
        <w:t>1 - تُشكل بقرار من رئيس الهيئة، لجنة تُسمى "لجنة الاعتراضات"، للنظر في الاعتراضات المقدمة من موظفي الحكومة الاتحادية على قرارات لجنة التظلمات، وذلك وفق الإجراءات والآليات والمدد الزمنية التي تُحددها اللائحة التنفيذية لهذا المرسوم بقانون، وتكون القرارات الصادرة عن لجنة الاعتراضات نهائية.</w:t>
      </w:r>
      <w:r w:rsidR="005C6E3B">
        <w:rPr>
          <w:rFonts w:asciiTheme="majorBidi" w:hAnsiTheme="majorBidi" w:cstheme="majorBidi" w:hint="cs"/>
          <w:sz w:val="32"/>
          <w:rtl/>
        </w:rPr>
        <w:t xml:space="preserve"> 2-</w:t>
      </w:r>
      <w:r w:rsidRPr="008B7D12">
        <w:rPr>
          <w:rFonts w:asciiTheme="majorBidi" w:hAnsiTheme="majorBidi" w:cstheme="majorBidi"/>
          <w:sz w:val="32"/>
          <w:rtl/>
        </w:rPr>
        <w:t xml:space="preserve"> لا تقبل الدعوى المرفوعة من الموظف أمام القضاء استنادًا لأحكام هذا المرسوم بقانون أو لائحته التنفيذية أو القرارات الصادرة تنفيذًا لهما، إذا لم يسبقها اللجوء إلى لجنة التظلمات ولجنة الاعتراضات خلال المدد ووفق الإجراءات والشروط التي تُحددها اللائحة التنفيذية لهذا المرسوم بقانون</w:t>
      </w:r>
      <w:r w:rsidR="005C6E3B">
        <w:rPr>
          <w:rFonts w:asciiTheme="majorBidi" w:hAnsiTheme="majorBidi" w:cstheme="majorBidi" w:hint="cs"/>
          <w:sz w:val="32"/>
          <w:rtl/>
        </w:rPr>
        <w:t>"</w:t>
      </w:r>
      <w:r w:rsidRPr="008B7D12">
        <w:rPr>
          <w:rFonts w:asciiTheme="majorBidi" w:hAnsiTheme="majorBidi" w:cstheme="majorBidi"/>
          <w:sz w:val="32"/>
          <w:rtl/>
        </w:rPr>
        <w:t>.</w:t>
      </w:r>
    </w:p>
    <w:p w14:paraId="7895E189" w14:textId="0A33F7D2" w:rsidR="008B7D12" w:rsidRPr="008B7D12" w:rsidRDefault="008B7D12" w:rsidP="005C6E3B">
      <w:pPr>
        <w:widowControl w:val="0"/>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وكان من المقرر أيضا وفقا لنص المادة الثانية من قرار مجلس الوزراء رقم 48 لسنة 2023 بشأن اللائحة التنفيذية للمرسوم بقانون اتحادي رقم 49 لسنة 2022 بشأن الموارد البشرية في الحكومة الاتحادية أنه</w:t>
      </w:r>
      <w:r w:rsidR="005C6E3B">
        <w:rPr>
          <w:rFonts w:asciiTheme="majorBidi" w:hAnsiTheme="majorBidi" w:cstheme="majorBidi" w:hint="cs"/>
          <w:sz w:val="32"/>
          <w:rtl/>
        </w:rPr>
        <w:t xml:space="preserve"> " 1-</w:t>
      </w:r>
      <w:r w:rsidRPr="008B7D12">
        <w:rPr>
          <w:rFonts w:asciiTheme="majorBidi" w:hAnsiTheme="majorBidi" w:cstheme="majorBidi"/>
          <w:sz w:val="32"/>
          <w:rtl/>
        </w:rPr>
        <w:t xml:space="preserve"> تُطبق أحكام هذا القرار على الموظفين المدنيين في الجهات الاتحادية، بما في ذلك الجهات التي نصت تشريعات إنشائها على وجود لوائح موارد بشرية مستقلة لها.</w:t>
      </w:r>
      <w:r w:rsidR="005C6E3B">
        <w:rPr>
          <w:rFonts w:asciiTheme="majorBidi" w:hAnsiTheme="majorBidi" w:cstheme="majorBidi" w:hint="cs"/>
          <w:sz w:val="32"/>
          <w:rtl/>
        </w:rPr>
        <w:t xml:space="preserve"> 2-</w:t>
      </w:r>
      <w:r w:rsidRPr="008B7D12">
        <w:rPr>
          <w:rFonts w:asciiTheme="majorBidi" w:hAnsiTheme="majorBidi" w:cstheme="majorBidi"/>
          <w:sz w:val="32"/>
          <w:rtl/>
        </w:rPr>
        <w:t xml:space="preserve"> يُستثنى من تطبيق أحكام هذا القرار، الجهات الاتحادية وموظفوها التي يتم استثناؤها بقرار من مجلس الوزراء، وعلى أن يُحدد قرار الاستثناء الأحكام والالتزامات المترتبة على تلك الجهات، مع التزام هذه الجهات بتوفير البيانات الآنية للموارد البشرية العاملة لديها متضمنة الأجور والرواتب وكافة الإجراءات الخاصة بالموارد البشرية فيها، </w:t>
      </w:r>
      <w:r w:rsidRPr="008B7D12">
        <w:rPr>
          <w:rFonts w:asciiTheme="majorBidi" w:hAnsiTheme="majorBidi" w:cstheme="majorBidi"/>
          <w:sz w:val="32"/>
          <w:rtl/>
        </w:rPr>
        <w:lastRenderedPageBreak/>
        <w:t>من خلال الربط مع الأنظمة المعتمدة لدى الهيئة.</w:t>
      </w:r>
      <w:r w:rsidR="005C6E3B">
        <w:rPr>
          <w:rFonts w:asciiTheme="majorBidi" w:hAnsiTheme="majorBidi" w:cstheme="majorBidi" w:hint="cs"/>
          <w:sz w:val="32"/>
          <w:rtl/>
        </w:rPr>
        <w:t xml:space="preserve"> 3-</w:t>
      </w:r>
      <w:r w:rsidRPr="008B7D12">
        <w:rPr>
          <w:rFonts w:asciiTheme="majorBidi" w:hAnsiTheme="majorBidi" w:cstheme="majorBidi"/>
          <w:sz w:val="32"/>
          <w:rtl/>
        </w:rPr>
        <w:t xml:space="preserve"> تعتبر قرارات مجلس الوزراء الصادرة قبل صدور المرسوم بقانون اتحادي رقم (49) لسنة 2022 بشأن الموارد البشرية في الحكومة الاتحادية وهذا القرار، بشأن استثناء بعض الجهات الاتحادية من تطبيق قانون الموارد البشرية في الحكومة الاتحادية أو بعض أحكامه، سارية المفعول ما لم يقرر مجلس الوزراء خلاف ذلك</w:t>
      </w:r>
      <w:r w:rsidR="005C6E3B">
        <w:rPr>
          <w:rFonts w:asciiTheme="majorBidi" w:hAnsiTheme="majorBidi" w:cstheme="majorBidi" w:hint="cs"/>
          <w:sz w:val="32"/>
          <w:rtl/>
        </w:rPr>
        <w:t>"</w:t>
      </w:r>
      <w:r w:rsidRPr="008B7D12">
        <w:rPr>
          <w:rFonts w:asciiTheme="majorBidi" w:hAnsiTheme="majorBidi" w:cstheme="majorBidi"/>
          <w:sz w:val="32"/>
          <w:rtl/>
        </w:rPr>
        <w:t>.</w:t>
      </w:r>
    </w:p>
    <w:p w14:paraId="28FA40A1" w14:textId="7AC74869" w:rsidR="008B7D12" w:rsidRPr="008B7D12" w:rsidRDefault="008B7D12" w:rsidP="008B7D12">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وكان من المقرر</w:t>
      </w:r>
      <w:r w:rsidR="005C6E3B">
        <w:rPr>
          <w:rFonts w:asciiTheme="majorBidi" w:hAnsiTheme="majorBidi" w:cstheme="majorBidi" w:hint="cs"/>
          <w:sz w:val="32"/>
          <w:rtl/>
        </w:rPr>
        <w:t xml:space="preserve"> -</w:t>
      </w:r>
      <w:r w:rsidRPr="008B7D12">
        <w:rPr>
          <w:rFonts w:asciiTheme="majorBidi" w:hAnsiTheme="majorBidi" w:cstheme="majorBidi"/>
          <w:sz w:val="32"/>
          <w:rtl/>
        </w:rPr>
        <w:t xml:space="preserve"> في قضاء هذه المحكمة </w:t>
      </w:r>
      <w:r w:rsidR="005C6E3B">
        <w:rPr>
          <w:rFonts w:asciiTheme="majorBidi" w:hAnsiTheme="majorBidi" w:cstheme="majorBidi" w:hint="cs"/>
          <w:sz w:val="32"/>
          <w:rtl/>
        </w:rPr>
        <w:t xml:space="preserve">- </w:t>
      </w:r>
      <w:r w:rsidRPr="008B7D12">
        <w:rPr>
          <w:rFonts w:asciiTheme="majorBidi" w:hAnsiTheme="majorBidi" w:cstheme="majorBidi"/>
          <w:sz w:val="32"/>
          <w:rtl/>
        </w:rPr>
        <w:t>أن لجنة التظلمات تمارس نوعا من الولاية وتطبق أحكام القانون بما يتوجب معه لزوم سلوك الطريق الذي رسمه القانون من التظلم على قرار الجهة الإدارية أمام لجنة الاعتراضات لأنه محل ومناط الطعن، ومتى كان النص واضحا جلي المعنى قاطعا في الدلالة على المراد منه فإنه لا يجوز الخروج عليه أو تأويله إذ لا مساغ للاجتهاد في مورد نص قطعي الدلالة، ولما كان المشرع لم يعقد اختصاص المحكمة إلا بصدور قرار لجنة تظلمات الاعتراضات ومن ثم فإن رقابة قضاء المشروعية إنما تنصب على هذا القرار.</w:t>
      </w:r>
    </w:p>
    <w:p w14:paraId="238E1DB5" w14:textId="202BA2DA" w:rsidR="008B7D12" w:rsidRPr="008B7D12" w:rsidRDefault="008B7D12" w:rsidP="008B7D12">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وكان من المقرر </w:t>
      </w:r>
      <w:r w:rsidR="005C6E3B">
        <w:rPr>
          <w:rFonts w:asciiTheme="majorBidi" w:hAnsiTheme="majorBidi" w:cstheme="majorBidi" w:hint="cs"/>
          <w:sz w:val="32"/>
          <w:rtl/>
        </w:rPr>
        <w:t xml:space="preserve">- </w:t>
      </w:r>
      <w:r w:rsidRPr="008B7D12">
        <w:rPr>
          <w:rFonts w:asciiTheme="majorBidi" w:hAnsiTheme="majorBidi" w:cstheme="majorBidi"/>
          <w:sz w:val="32"/>
          <w:rtl/>
        </w:rPr>
        <w:t>وعلى ما جرى عليه قضاء هذه المحكمة</w:t>
      </w:r>
      <w:r w:rsidR="005C6E3B">
        <w:rPr>
          <w:rFonts w:asciiTheme="majorBidi" w:hAnsiTheme="majorBidi" w:cstheme="majorBidi" w:hint="cs"/>
          <w:sz w:val="32"/>
          <w:rtl/>
        </w:rPr>
        <w:t xml:space="preserve"> -</w:t>
      </w:r>
      <w:r w:rsidRPr="008B7D12">
        <w:rPr>
          <w:rFonts w:asciiTheme="majorBidi" w:hAnsiTheme="majorBidi" w:cstheme="majorBidi"/>
          <w:sz w:val="32"/>
          <w:rtl/>
        </w:rPr>
        <w:t xml:space="preserve"> أن الأحكام يجب أن تكون مبنية على أسباب واضحة كافية تحمل الدليل على أن المحكمة بحثت النزاع المطروح أمامها بحثا دقيقا، وأنها محصت الأدلة التي قدمت إليها توصلا إلى ما ترى أنه الواقع في الدعوى، وأن الحقيقة التي استخلصتها واقتنعت بها قد قام فيها الدليل الذي يتطلبه القانون ويؤدي إلى النتيجة التي انتهى إليها، إضافة إلى اشتمال حكمها على ما يطمئن المطلع عليه أن المحكمة استنفدت كل ما في سلطتها من وسائل لكشف وجه الحق في الدعوى، وأن مخالفة ذلك تحسب عليها قصوراً يوجب نقض حكمها. </w:t>
      </w:r>
    </w:p>
    <w:p w14:paraId="1E166B98" w14:textId="0968ED5C" w:rsidR="008B7D12" w:rsidRPr="008B7D12" w:rsidRDefault="008B7D12" w:rsidP="008B7D12">
      <w:pPr>
        <w:spacing w:line="360" w:lineRule="auto"/>
        <w:ind w:firstLine="503"/>
        <w:jc w:val="both"/>
        <w:rPr>
          <w:rFonts w:asciiTheme="majorBidi" w:hAnsiTheme="majorBidi" w:cstheme="majorBidi"/>
          <w:sz w:val="32"/>
          <w:rtl/>
        </w:rPr>
      </w:pPr>
      <w:r w:rsidRPr="008B7D12">
        <w:rPr>
          <w:rFonts w:asciiTheme="majorBidi" w:hAnsiTheme="majorBidi" w:cstheme="majorBidi"/>
          <w:sz w:val="32"/>
          <w:rtl/>
        </w:rPr>
        <w:t xml:space="preserve">ولما كان من المقرر أن كل دفاع يدلي به الخصم لمحكمة الموضوع ويطلب إليها بطريق الجزم أن تفصل فيه ويكون الفصل فيه مما يجوز أن يترتب عليه </w:t>
      </w:r>
      <w:r w:rsidR="005C6E3B">
        <w:rPr>
          <w:rFonts w:asciiTheme="majorBidi" w:hAnsiTheme="majorBidi" w:cstheme="majorBidi" w:hint="cs"/>
          <w:sz w:val="32"/>
          <w:rtl/>
        </w:rPr>
        <w:t xml:space="preserve">- </w:t>
      </w:r>
      <w:r w:rsidRPr="008B7D12">
        <w:rPr>
          <w:rFonts w:asciiTheme="majorBidi" w:hAnsiTheme="majorBidi" w:cstheme="majorBidi"/>
          <w:sz w:val="32"/>
          <w:rtl/>
        </w:rPr>
        <w:t>إن صح</w:t>
      </w:r>
      <w:r w:rsidR="005C6E3B">
        <w:rPr>
          <w:rFonts w:asciiTheme="majorBidi" w:hAnsiTheme="majorBidi" w:cstheme="majorBidi" w:hint="cs"/>
          <w:sz w:val="32"/>
          <w:rtl/>
        </w:rPr>
        <w:t xml:space="preserve"> -</w:t>
      </w:r>
      <w:r w:rsidRPr="008B7D12">
        <w:rPr>
          <w:rFonts w:asciiTheme="majorBidi" w:hAnsiTheme="majorBidi" w:cstheme="majorBidi"/>
          <w:sz w:val="32"/>
          <w:rtl/>
        </w:rPr>
        <w:t xml:space="preserve"> تغير وجه الرأي في الدعوى، فيجب على المحكمة أن تبحثه، وأن تجيب عليه بأسباب خاصة إذ يعتبر عدم بحث مثل هذا الدفاع قصورا في أسباب الحكم الواقعية مما يترتب عليه البطلان. وكان من المقرر أيضا في قضاء هذه المحكمة أن الدفاع الجوهري للخصوم والذي قد يتغير معه وجه الرأي في الدعوى يوجب على المحكمة تحقيقه إيرادا وردا، وكان الطاعن منذ فجر إقامة الدعوى تمسك بدفاعه بعدم قبول الدعوى دون اللجوء إلى لجنة الاعتراضات إلا أن الحكم المطعون فيه اختزل القول في أن حكم محكمة أول درجة تكفل بالرد على هذا الدفع – </w:t>
      </w:r>
      <w:r w:rsidRPr="008B7D12">
        <w:rPr>
          <w:rFonts w:asciiTheme="majorBidi" w:hAnsiTheme="majorBidi" w:cstheme="majorBidi"/>
          <w:sz w:val="32"/>
          <w:rtl/>
        </w:rPr>
        <w:lastRenderedPageBreak/>
        <w:t xml:space="preserve">بما يكون معه حجب نفسه عن التصدي لهذا الدفع ولم يرد عليه بأسباب خاصة إذ يعتبر عدم بحث مثل هذا الدفع قصوراً في أسباب الحكم الواقعية مما يترتب عليه البطلان، إذ كان عليه أن يستدل استدلالاً صحيحا بما ورد بمضمونه وإلا كان مشوبا بالإخلال بحق الدفاع وفساد الاستدلال الذي لا يعدو أن يكون وجهاً من أوجه مخالفة القانون بما يوجب نقضه مع الإحالة دون بحث باقي ما استدل به.  </w:t>
      </w:r>
    </w:p>
    <w:bookmarkEnd w:id="2"/>
    <w:p w14:paraId="7E7DF7DC" w14:textId="3D3DAA7C" w:rsidR="008B7D12" w:rsidRPr="008B182E" w:rsidRDefault="008B7D12" w:rsidP="008B7D12">
      <w:pPr>
        <w:tabs>
          <w:tab w:val="left" w:pos="3140"/>
        </w:tabs>
        <w:spacing w:line="360" w:lineRule="auto"/>
        <w:ind w:firstLine="630"/>
        <w:rPr>
          <w:rFonts w:ascii="Times New Roman" w:hAnsi="Times New Roman" w:cs="Times New Roman"/>
          <w:b/>
          <w:bCs/>
          <w:noProof/>
          <w:sz w:val="48"/>
          <w:rtl/>
          <w:lang w:eastAsia="en-US" w:bidi="ar-SA"/>
        </w:rPr>
      </w:pPr>
      <w:r w:rsidRPr="008B182E">
        <w:rPr>
          <w:rFonts w:ascii="Times New Roman" w:hAnsi="Times New Roman" w:cs="Times New Roman"/>
          <w:sz w:val="32"/>
          <w:rtl/>
        </w:rPr>
        <w:tab/>
      </w:r>
    </w:p>
    <w:bookmarkEnd w:id="0"/>
    <w:p w14:paraId="697AFF89" w14:textId="77777777" w:rsidR="00A33542" w:rsidRDefault="00A33542" w:rsidP="009100B9">
      <w:pPr>
        <w:spacing w:line="276" w:lineRule="auto"/>
        <w:jc w:val="center"/>
        <w:rPr>
          <w:b/>
          <w:bCs/>
          <w:sz w:val="36"/>
          <w:szCs w:val="36"/>
          <w:u w:val="single"/>
        </w:rPr>
      </w:pPr>
    </w:p>
    <w:sectPr w:rsidR="00A33542" w:rsidSect="00E24A0B">
      <w:headerReference w:type="default" r:id="rId10"/>
      <w:footerReference w:type="default" r:id="rId11"/>
      <w:footerReference w:type="first" r:id="rId12"/>
      <w:pgSz w:w="11907" w:h="16840" w:code="9"/>
      <w:pgMar w:top="540" w:right="1347" w:bottom="720" w:left="1650" w:header="720" w:footer="105"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82CA9" w14:textId="77777777" w:rsidR="0074286C" w:rsidRDefault="0074286C" w:rsidP="008A5E2F">
      <w:r>
        <w:separator/>
      </w:r>
    </w:p>
  </w:endnote>
  <w:endnote w:type="continuationSeparator" w:id="0">
    <w:p w14:paraId="43AA130D" w14:textId="77777777" w:rsidR="0074286C" w:rsidRDefault="0074286C"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83575" w14:textId="284AA4EC" w:rsidR="00DE4363" w:rsidRDefault="00DE4363">
    <w:pPr>
      <w:pStyle w:val="Footer"/>
      <w:jc w:val="center"/>
    </w:pPr>
  </w:p>
  <w:p w14:paraId="41486BDE" w14:textId="77777777" w:rsidR="00DE4363" w:rsidRDefault="00DE43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3F4DE" w14:textId="764C6E6B" w:rsidR="00CB437E" w:rsidRPr="00F2197C" w:rsidRDefault="00F2197C">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8CDD2" w14:textId="77777777" w:rsidR="0074286C" w:rsidRDefault="0074286C" w:rsidP="008A5E2F">
      <w:r>
        <w:separator/>
      </w:r>
    </w:p>
  </w:footnote>
  <w:footnote w:type="continuationSeparator" w:id="0">
    <w:p w14:paraId="51FDA1C1" w14:textId="77777777" w:rsidR="0074286C" w:rsidRDefault="0074286C"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32ADC" w14:textId="394B3B96" w:rsidR="00297D55" w:rsidRPr="008B7D12" w:rsidRDefault="008B7D12" w:rsidP="008B7D12">
    <w:pPr>
      <w:pStyle w:val="Header"/>
      <w:spacing w:line="360" w:lineRule="auto"/>
      <w:jc w:val="right"/>
      <w:rPr>
        <w:rFonts w:asciiTheme="majorBidi" w:hAnsiTheme="majorBidi" w:cstheme="majorBidi"/>
        <w:sz w:val="32"/>
        <w:rtl/>
      </w:rPr>
    </w:pPr>
    <w:bookmarkStart w:id="3" w:name="_Hlk219294402"/>
    <w:bookmarkStart w:id="4" w:name="_Hlk219294403"/>
    <w:bookmarkStart w:id="5" w:name="_Hlk219294404"/>
    <w:bookmarkStart w:id="6" w:name="_Hlk219294405"/>
    <w:r>
      <w:rPr>
        <w:rFonts w:asciiTheme="majorBidi" w:hAnsiTheme="majorBidi" w:cstheme="majorBidi" w:hint="cs"/>
        <w:sz w:val="32"/>
        <w:rtl/>
      </w:rPr>
      <w:t>المحكمة الاتحادية العليا</w:t>
    </w:r>
    <w:bookmarkEnd w:id="3"/>
    <w:bookmarkEnd w:id="4"/>
    <w:bookmarkEnd w:id="5"/>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194326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36BA"/>
    <w:rsid w:val="000041EB"/>
    <w:rsid w:val="00014095"/>
    <w:rsid w:val="000145FB"/>
    <w:rsid w:val="00015233"/>
    <w:rsid w:val="00027751"/>
    <w:rsid w:val="0003008B"/>
    <w:rsid w:val="00031E4F"/>
    <w:rsid w:val="00041F24"/>
    <w:rsid w:val="00046A43"/>
    <w:rsid w:val="000470F2"/>
    <w:rsid w:val="000476EF"/>
    <w:rsid w:val="00052C31"/>
    <w:rsid w:val="00054785"/>
    <w:rsid w:val="0005725F"/>
    <w:rsid w:val="0006391B"/>
    <w:rsid w:val="00064935"/>
    <w:rsid w:val="00065CA3"/>
    <w:rsid w:val="0006604C"/>
    <w:rsid w:val="00075F93"/>
    <w:rsid w:val="000774C1"/>
    <w:rsid w:val="0008786E"/>
    <w:rsid w:val="00090BB2"/>
    <w:rsid w:val="000A09E0"/>
    <w:rsid w:val="000A17C7"/>
    <w:rsid w:val="000A1EA4"/>
    <w:rsid w:val="000B009C"/>
    <w:rsid w:val="000B20FA"/>
    <w:rsid w:val="000B389D"/>
    <w:rsid w:val="000B5A4D"/>
    <w:rsid w:val="000C3D2F"/>
    <w:rsid w:val="000D2D5F"/>
    <w:rsid w:val="000D5448"/>
    <w:rsid w:val="000D63FD"/>
    <w:rsid w:val="000D72F9"/>
    <w:rsid w:val="000D7502"/>
    <w:rsid w:val="000E4477"/>
    <w:rsid w:val="000E7CC6"/>
    <w:rsid w:val="000F5370"/>
    <w:rsid w:val="000F7565"/>
    <w:rsid w:val="001013C1"/>
    <w:rsid w:val="001021ED"/>
    <w:rsid w:val="00106454"/>
    <w:rsid w:val="001067C5"/>
    <w:rsid w:val="00110290"/>
    <w:rsid w:val="00110FDE"/>
    <w:rsid w:val="00111822"/>
    <w:rsid w:val="001154F1"/>
    <w:rsid w:val="00130AD4"/>
    <w:rsid w:val="00133614"/>
    <w:rsid w:val="001344AE"/>
    <w:rsid w:val="0014588C"/>
    <w:rsid w:val="0015332B"/>
    <w:rsid w:val="00153B99"/>
    <w:rsid w:val="001629E9"/>
    <w:rsid w:val="001646A7"/>
    <w:rsid w:val="001662DF"/>
    <w:rsid w:val="00175399"/>
    <w:rsid w:val="001861CC"/>
    <w:rsid w:val="0018649A"/>
    <w:rsid w:val="0018774C"/>
    <w:rsid w:val="00192AFE"/>
    <w:rsid w:val="00194A1F"/>
    <w:rsid w:val="00196975"/>
    <w:rsid w:val="0019743D"/>
    <w:rsid w:val="001B15AD"/>
    <w:rsid w:val="001B37B3"/>
    <w:rsid w:val="001B401C"/>
    <w:rsid w:val="001B4229"/>
    <w:rsid w:val="001C63FE"/>
    <w:rsid w:val="001D1B81"/>
    <w:rsid w:val="001D5FBD"/>
    <w:rsid w:val="001D7BA1"/>
    <w:rsid w:val="001D7C54"/>
    <w:rsid w:val="001E0CFE"/>
    <w:rsid w:val="001E5B2A"/>
    <w:rsid w:val="001F575D"/>
    <w:rsid w:val="001F6E21"/>
    <w:rsid w:val="00200541"/>
    <w:rsid w:val="00200EA8"/>
    <w:rsid w:val="002035C9"/>
    <w:rsid w:val="00207BAE"/>
    <w:rsid w:val="002174D8"/>
    <w:rsid w:val="0024449E"/>
    <w:rsid w:val="0024612D"/>
    <w:rsid w:val="00251B4C"/>
    <w:rsid w:val="002669CD"/>
    <w:rsid w:val="00272013"/>
    <w:rsid w:val="002733D4"/>
    <w:rsid w:val="002758CC"/>
    <w:rsid w:val="00276B80"/>
    <w:rsid w:val="00292BF1"/>
    <w:rsid w:val="00295EEE"/>
    <w:rsid w:val="00297D55"/>
    <w:rsid w:val="002A127F"/>
    <w:rsid w:val="002A62F7"/>
    <w:rsid w:val="002B0039"/>
    <w:rsid w:val="002B5749"/>
    <w:rsid w:val="002C2C80"/>
    <w:rsid w:val="002C2E6B"/>
    <w:rsid w:val="002D3214"/>
    <w:rsid w:val="002D6A16"/>
    <w:rsid w:val="002D71C8"/>
    <w:rsid w:val="002E36EC"/>
    <w:rsid w:val="002F1C9E"/>
    <w:rsid w:val="00312A01"/>
    <w:rsid w:val="003234CD"/>
    <w:rsid w:val="00325A69"/>
    <w:rsid w:val="003268DF"/>
    <w:rsid w:val="00331C6B"/>
    <w:rsid w:val="003366A0"/>
    <w:rsid w:val="00336E41"/>
    <w:rsid w:val="0034030D"/>
    <w:rsid w:val="00342623"/>
    <w:rsid w:val="00342D1D"/>
    <w:rsid w:val="00343C26"/>
    <w:rsid w:val="00350DE7"/>
    <w:rsid w:val="00351FE5"/>
    <w:rsid w:val="0035356F"/>
    <w:rsid w:val="003551BF"/>
    <w:rsid w:val="003552D1"/>
    <w:rsid w:val="00361186"/>
    <w:rsid w:val="00363B30"/>
    <w:rsid w:val="003649B7"/>
    <w:rsid w:val="00364FAB"/>
    <w:rsid w:val="00365493"/>
    <w:rsid w:val="003654C5"/>
    <w:rsid w:val="00372752"/>
    <w:rsid w:val="00380CF4"/>
    <w:rsid w:val="00380EAC"/>
    <w:rsid w:val="00385ABB"/>
    <w:rsid w:val="0038681B"/>
    <w:rsid w:val="003A09A4"/>
    <w:rsid w:val="003A335E"/>
    <w:rsid w:val="003A3879"/>
    <w:rsid w:val="003A3DF2"/>
    <w:rsid w:val="003A72E8"/>
    <w:rsid w:val="003A75C1"/>
    <w:rsid w:val="003B2D92"/>
    <w:rsid w:val="003B4123"/>
    <w:rsid w:val="003B657F"/>
    <w:rsid w:val="003C26AB"/>
    <w:rsid w:val="003C2F3D"/>
    <w:rsid w:val="003E00DF"/>
    <w:rsid w:val="003E3FCF"/>
    <w:rsid w:val="003E4EA8"/>
    <w:rsid w:val="003E74DD"/>
    <w:rsid w:val="003F3997"/>
    <w:rsid w:val="004031EA"/>
    <w:rsid w:val="00403DE5"/>
    <w:rsid w:val="004059CB"/>
    <w:rsid w:val="00412A42"/>
    <w:rsid w:val="004259CF"/>
    <w:rsid w:val="004304F6"/>
    <w:rsid w:val="0044644C"/>
    <w:rsid w:val="004522A1"/>
    <w:rsid w:val="00453660"/>
    <w:rsid w:val="004541E5"/>
    <w:rsid w:val="00455011"/>
    <w:rsid w:val="00457694"/>
    <w:rsid w:val="004641E8"/>
    <w:rsid w:val="00482E74"/>
    <w:rsid w:val="004935DC"/>
    <w:rsid w:val="0049399F"/>
    <w:rsid w:val="004B0D4D"/>
    <w:rsid w:val="004B3CDD"/>
    <w:rsid w:val="004B5017"/>
    <w:rsid w:val="004C020B"/>
    <w:rsid w:val="004C04A7"/>
    <w:rsid w:val="004C0D98"/>
    <w:rsid w:val="004C2C27"/>
    <w:rsid w:val="004C5768"/>
    <w:rsid w:val="004C6C56"/>
    <w:rsid w:val="004D4A01"/>
    <w:rsid w:val="004E137E"/>
    <w:rsid w:val="004E13D5"/>
    <w:rsid w:val="004E26A4"/>
    <w:rsid w:val="004E29C8"/>
    <w:rsid w:val="004E69F8"/>
    <w:rsid w:val="0050476F"/>
    <w:rsid w:val="0051099B"/>
    <w:rsid w:val="00521529"/>
    <w:rsid w:val="005263D2"/>
    <w:rsid w:val="00534EEE"/>
    <w:rsid w:val="0054019F"/>
    <w:rsid w:val="00540855"/>
    <w:rsid w:val="0054258A"/>
    <w:rsid w:val="00545A4B"/>
    <w:rsid w:val="00547101"/>
    <w:rsid w:val="00547C85"/>
    <w:rsid w:val="005539B7"/>
    <w:rsid w:val="005566EA"/>
    <w:rsid w:val="005637C6"/>
    <w:rsid w:val="00574AD4"/>
    <w:rsid w:val="005863DD"/>
    <w:rsid w:val="00587AB2"/>
    <w:rsid w:val="00590564"/>
    <w:rsid w:val="005905EC"/>
    <w:rsid w:val="0059222B"/>
    <w:rsid w:val="00594106"/>
    <w:rsid w:val="005B4600"/>
    <w:rsid w:val="005C0E49"/>
    <w:rsid w:val="005C44D6"/>
    <w:rsid w:val="005C4D00"/>
    <w:rsid w:val="005C6E3B"/>
    <w:rsid w:val="005D0069"/>
    <w:rsid w:val="005D5288"/>
    <w:rsid w:val="005D666F"/>
    <w:rsid w:val="005E2613"/>
    <w:rsid w:val="005E409D"/>
    <w:rsid w:val="005E430B"/>
    <w:rsid w:val="005E5073"/>
    <w:rsid w:val="005E546C"/>
    <w:rsid w:val="005F22B7"/>
    <w:rsid w:val="005F33E8"/>
    <w:rsid w:val="005F4EAB"/>
    <w:rsid w:val="006031CB"/>
    <w:rsid w:val="00613042"/>
    <w:rsid w:val="00620FA9"/>
    <w:rsid w:val="006215C0"/>
    <w:rsid w:val="00621B4E"/>
    <w:rsid w:val="00622F27"/>
    <w:rsid w:val="0062503A"/>
    <w:rsid w:val="00627F79"/>
    <w:rsid w:val="00632BC7"/>
    <w:rsid w:val="00635D9D"/>
    <w:rsid w:val="00640280"/>
    <w:rsid w:val="00640551"/>
    <w:rsid w:val="0064154F"/>
    <w:rsid w:val="006522EA"/>
    <w:rsid w:val="00654861"/>
    <w:rsid w:val="00654D07"/>
    <w:rsid w:val="00655CBF"/>
    <w:rsid w:val="00655DC4"/>
    <w:rsid w:val="006579FB"/>
    <w:rsid w:val="006607E5"/>
    <w:rsid w:val="00661383"/>
    <w:rsid w:val="0066356F"/>
    <w:rsid w:val="006648B3"/>
    <w:rsid w:val="00664FA9"/>
    <w:rsid w:val="00665619"/>
    <w:rsid w:val="00674B67"/>
    <w:rsid w:val="0067539C"/>
    <w:rsid w:val="00675901"/>
    <w:rsid w:val="0068776B"/>
    <w:rsid w:val="006908D4"/>
    <w:rsid w:val="00696FC3"/>
    <w:rsid w:val="006A4B0A"/>
    <w:rsid w:val="006B2EBC"/>
    <w:rsid w:val="006B6D2C"/>
    <w:rsid w:val="006C609F"/>
    <w:rsid w:val="006D5E0D"/>
    <w:rsid w:val="006F7DC6"/>
    <w:rsid w:val="00706585"/>
    <w:rsid w:val="0070725A"/>
    <w:rsid w:val="00707995"/>
    <w:rsid w:val="007231CF"/>
    <w:rsid w:val="00723873"/>
    <w:rsid w:val="00741ADD"/>
    <w:rsid w:val="0074286C"/>
    <w:rsid w:val="007431A9"/>
    <w:rsid w:val="007450B0"/>
    <w:rsid w:val="0075648A"/>
    <w:rsid w:val="00762A4E"/>
    <w:rsid w:val="007721ED"/>
    <w:rsid w:val="00772D35"/>
    <w:rsid w:val="00776E8B"/>
    <w:rsid w:val="00781BC3"/>
    <w:rsid w:val="00786FF2"/>
    <w:rsid w:val="007909F1"/>
    <w:rsid w:val="00790FAF"/>
    <w:rsid w:val="007A26F4"/>
    <w:rsid w:val="007A6885"/>
    <w:rsid w:val="007B22AD"/>
    <w:rsid w:val="007B3843"/>
    <w:rsid w:val="007B4164"/>
    <w:rsid w:val="007B5B7F"/>
    <w:rsid w:val="007B69AD"/>
    <w:rsid w:val="007C344A"/>
    <w:rsid w:val="007D1465"/>
    <w:rsid w:val="007E01E1"/>
    <w:rsid w:val="007E54CF"/>
    <w:rsid w:val="007F2A6E"/>
    <w:rsid w:val="007F4923"/>
    <w:rsid w:val="007F7F94"/>
    <w:rsid w:val="00803BA7"/>
    <w:rsid w:val="008059B3"/>
    <w:rsid w:val="0080638E"/>
    <w:rsid w:val="00810438"/>
    <w:rsid w:val="00810BEC"/>
    <w:rsid w:val="00813327"/>
    <w:rsid w:val="00814201"/>
    <w:rsid w:val="00821AFF"/>
    <w:rsid w:val="00833AC5"/>
    <w:rsid w:val="00842563"/>
    <w:rsid w:val="00842DEA"/>
    <w:rsid w:val="00846278"/>
    <w:rsid w:val="0085097D"/>
    <w:rsid w:val="0085168B"/>
    <w:rsid w:val="008534B7"/>
    <w:rsid w:val="008705C8"/>
    <w:rsid w:val="00872FC7"/>
    <w:rsid w:val="00882C8E"/>
    <w:rsid w:val="00893D3D"/>
    <w:rsid w:val="0089609D"/>
    <w:rsid w:val="008A267A"/>
    <w:rsid w:val="008A5E2F"/>
    <w:rsid w:val="008B634F"/>
    <w:rsid w:val="008B74D5"/>
    <w:rsid w:val="008B7D12"/>
    <w:rsid w:val="008C2985"/>
    <w:rsid w:val="008C3165"/>
    <w:rsid w:val="008C5925"/>
    <w:rsid w:val="008C7DF8"/>
    <w:rsid w:val="008E1EB8"/>
    <w:rsid w:val="008E20E0"/>
    <w:rsid w:val="008E7689"/>
    <w:rsid w:val="008F2EAC"/>
    <w:rsid w:val="008F47ED"/>
    <w:rsid w:val="008F55C7"/>
    <w:rsid w:val="008F597B"/>
    <w:rsid w:val="008F6BB9"/>
    <w:rsid w:val="00900153"/>
    <w:rsid w:val="00900E75"/>
    <w:rsid w:val="0090639C"/>
    <w:rsid w:val="009100B9"/>
    <w:rsid w:val="00910F96"/>
    <w:rsid w:val="00914C58"/>
    <w:rsid w:val="00921136"/>
    <w:rsid w:val="0092446E"/>
    <w:rsid w:val="00926C18"/>
    <w:rsid w:val="00926D4A"/>
    <w:rsid w:val="00927D3C"/>
    <w:rsid w:val="0093023B"/>
    <w:rsid w:val="00931FE7"/>
    <w:rsid w:val="009334A7"/>
    <w:rsid w:val="0093701E"/>
    <w:rsid w:val="00937F4F"/>
    <w:rsid w:val="00940DA1"/>
    <w:rsid w:val="009446DA"/>
    <w:rsid w:val="009525CA"/>
    <w:rsid w:val="009570FB"/>
    <w:rsid w:val="009576D4"/>
    <w:rsid w:val="00962BB4"/>
    <w:rsid w:val="0096452A"/>
    <w:rsid w:val="00966ACE"/>
    <w:rsid w:val="0097244C"/>
    <w:rsid w:val="00974546"/>
    <w:rsid w:val="0098049A"/>
    <w:rsid w:val="00987908"/>
    <w:rsid w:val="00990DBD"/>
    <w:rsid w:val="00991766"/>
    <w:rsid w:val="0099358D"/>
    <w:rsid w:val="009A08F6"/>
    <w:rsid w:val="009A0F84"/>
    <w:rsid w:val="009A3FDE"/>
    <w:rsid w:val="009A5474"/>
    <w:rsid w:val="009A6BAC"/>
    <w:rsid w:val="009A7ED2"/>
    <w:rsid w:val="009B03B1"/>
    <w:rsid w:val="009B6C99"/>
    <w:rsid w:val="009C0143"/>
    <w:rsid w:val="009C6910"/>
    <w:rsid w:val="009D5727"/>
    <w:rsid w:val="009E09F0"/>
    <w:rsid w:val="009E14C1"/>
    <w:rsid w:val="009E182E"/>
    <w:rsid w:val="009E7BD1"/>
    <w:rsid w:val="009F2563"/>
    <w:rsid w:val="00A01751"/>
    <w:rsid w:val="00A30C5A"/>
    <w:rsid w:val="00A33542"/>
    <w:rsid w:val="00A34CB5"/>
    <w:rsid w:val="00A41FA4"/>
    <w:rsid w:val="00A441C1"/>
    <w:rsid w:val="00A45798"/>
    <w:rsid w:val="00A5056A"/>
    <w:rsid w:val="00A56966"/>
    <w:rsid w:val="00A60841"/>
    <w:rsid w:val="00A62F54"/>
    <w:rsid w:val="00A636FF"/>
    <w:rsid w:val="00A7052F"/>
    <w:rsid w:val="00A72C60"/>
    <w:rsid w:val="00A72E6F"/>
    <w:rsid w:val="00A742AB"/>
    <w:rsid w:val="00A80866"/>
    <w:rsid w:val="00A8266A"/>
    <w:rsid w:val="00A9349A"/>
    <w:rsid w:val="00A967DF"/>
    <w:rsid w:val="00AA1815"/>
    <w:rsid w:val="00AB1849"/>
    <w:rsid w:val="00AC1753"/>
    <w:rsid w:val="00AC3CCA"/>
    <w:rsid w:val="00AC6039"/>
    <w:rsid w:val="00AE50CA"/>
    <w:rsid w:val="00AF3211"/>
    <w:rsid w:val="00AF340F"/>
    <w:rsid w:val="00B0031F"/>
    <w:rsid w:val="00B1043B"/>
    <w:rsid w:val="00B15050"/>
    <w:rsid w:val="00B16146"/>
    <w:rsid w:val="00B206B4"/>
    <w:rsid w:val="00B22B32"/>
    <w:rsid w:val="00B22E38"/>
    <w:rsid w:val="00B3148F"/>
    <w:rsid w:val="00B37661"/>
    <w:rsid w:val="00B4740D"/>
    <w:rsid w:val="00B61240"/>
    <w:rsid w:val="00B648DB"/>
    <w:rsid w:val="00B65DFC"/>
    <w:rsid w:val="00B710E0"/>
    <w:rsid w:val="00B71A6D"/>
    <w:rsid w:val="00B7516D"/>
    <w:rsid w:val="00B80D52"/>
    <w:rsid w:val="00B855BB"/>
    <w:rsid w:val="00B93816"/>
    <w:rsid w:val="00BA0421"/>
    <w:rsid w:val="00BA5163"/>
    <w:rsid w:val="00BA5E5D"/>
    <w:rsid w:val="00BB1B0B"/>
    <w:rsid w:val="00BC0B11"/>
    <w:rsid w:val="00BC43FC"/>
    <w:rsid w:val="00BC4CCD"/>
    <w:rsid w:val="00BC5053"/>
    <w:rsid w:val="00BC7C9C"/>
    <w:rsid w:val="00BD009A"/>
    <w:rsid w:val="00BD5113"/>
    <w:rsid w:val="00BD689F"/>
    <w:rsid w:val="00BE0428"/>
    <w:rsid w:val="00BE7271"/>
    <w:rsid w:val="00BE78BE"/>
    <w:rsid w:val="00BF1A4E"/>
    <w:rsid w:val="00BF26D1"/>
    <w:rsid w:val="00BF3796"/>
    <w:rsid w:val="00BF45CB"/>
    <w:rsid w:val="00BF5100"/>
    <w:rsid w:val="00C01A1B"/>
    <w:rsid w:val="00C01B09"/>
    <w:rsid w:val="00C0557F"/>
    <w:rsid w:val="00C12796"/>
    <w:rsid w:val="00C272A9"/>
    <w:rsid w:val="00C325F3"/>
    <w:rsid w:val="00C34D4D"/>
    <w:rsid w:val="00C36A98"/>
    <w:rsid w:val="00C45B6D"/>
    <w:rsid w:val="00C518B7"/>
    <w:rsid w:val="00C51E91"/>
    <w:rsid w:val="00C577B5"/>
    <w:rsid w:val="00C57A08"/>
    <w:rsid w:val="00C64A5D"/>
    <w:rsid w:val="00C6537C"/>
    <w:rsid w:val="00C6745B"/>
    <w:rsid w:val="00C67FA5"/>
    <w:rsid w:val="00C71442"/>
    <w:rsid w:val="00C718A8"/>
    <w:rsid w:val="00C75B3B"/>
    <w:rsid w:val="00C7610C"/>
    <w:rsid w:val="00C903E7"/>
    <w:rsid w:val="00C92AEB"/>
    <w:rsid w:val="00C9347C"/>
    <w:rsid w:val="00C93DE1"/>
    <w:rsid w:val="00CA0C1F"/>
    <w:rsid w:val="00CA2765"/>
    <w:rsid w:val="00CB437E"/>
    <w:rsid w:val="00CB778D"/>
    <w:rsid w:val="00CC0977"/>
    <w:rsid w:val="00CC6CFC"/>
    <w:rsid w:val="00CD00F2"/>
    <w:rsid w:val="00CD04D3"/>
    <w:rsid w:val="00CD526E"/>
    <w:rsid w:val="00CD6861"/>
    <w:rsid w:val="00CD7A8D"/>
    <w:rsid w:val="00CE1AE1"/>
    <w:rsid w:val="00CE3422"/>
    <w:rsid w:val="00CE4C21"/>
    <w:rsid w:val="00CF30A1"/>
    <w:rsid w:val="00CF3104"/>
    <w:rsid w:val="00D00B3D"/>
    <w:rsid w:val="00D0102B"/>
    <w:rsid w:val="00D03814"/>
    <w:rsid w:val="00D04FB7"/>
    <w:rsid w:val="00D11D9B"/>
    <w:rsid w:val="00D12A84"/>
    <w:rsid w:val="00D270F2"/>
    <w:rsid w:val="00D4175D"/>
    <w:rsid w:val="00D5068E"/>
    <w:rsid w:val="00D50B8E"/>
    <w:rsid w:val="00D52981"/>
    <w:rsid w:val="00D60E5B"/>
    <w:rsid w:val="00D626A5"/>
    <w:rsid w:val="00D64618"/>
    <w:rsid w:val="00D65FF9"/>
    <w:rsid w:val="00D70A9D"/>
    <w:rsid w:val="00D76848"/>
    <w:rsid w:val="00D7710A"/>
    <w:rsid w:val="00D80608"/>
    <w:rsid w:val="00D80860"/>
    <w:rsid w:val="00D813EF"/>
    <w:rsid w:val="00D931E4"/>
    <w:rsid w:val="00D94C8D"/>
    <w:rsid w:val="00D96B1A"/>
    <w:rsid w:val="00DA1ABA"/>
    <w:rsid w:val="00DA4732"/>
    <w:rsid w:val="00DA7389"/>
    <w:rsid w:val="00DB4075"/>
    <w:rsid w:val="00DB4080"/>
    <w:rsid w:val="00DB4CC5"/>
    <w:rsid w:val="00DB5EA8"/>
    <w:rsid w:val="00DB70E9"/>
    <w:rsid w:val="00DC02D7"/>
    <w:rsid w:val="00DC7283"/>
    <w:rsid w:val="00DD429E"/>
    <w:rsid w:val="00DE27ED"/>
    <w:rsid w:val="00DE4363"/>
    <w:rsid w:val="00DE7634"/>
    <w:rsid w:val="00DF0D77"/>
    <w:rsid w:val="00DF2BAF"/>
    <w:rsid w:val="00E00B6B"/>
    <w:rsid w:val="00E015DB"/>
    <w:rsid w:val="00E04B1E"/>
    <w:rsid w:val="00E118E5"/>
    <w:rsid w:val="00E13C37"/>
    <w:rsid w:val="00E14C09"/>
    <w:rsid w:val="00E21136"/>
    <w:rsid w:val="00E24A0B"/>
    <w:rsid w:val="00E26D91"/>
    <w:rsid w:val="00E27663"/>
    <w:rsid w:val="00E31463"/>
    <w:rsid w:val="00E35032"/>
    <w:rsid w:val="00E4431B"/>
    <w:rsid w:val="00E457E9"/>
    <w:rsid w:val="00E53006"/>
    <w:rsid w:val="00E55D24"/>
    <w:rsid w:val="00E5613A"/>
    <w:rsid w:val="00E61E49"/>
    <w:rsid w:val="00E6254A"/>
    <w:rsid w:val="00E62667"/>
    <w:rsid w:val="00E62C87"/>
    <w:rsid w:val="00E65B1D"/>
    <w:rsid w:val="00E66BEE"/>
    <w:rsid w:val="00E71238"/>
    <w:rsid w:val="00E72C7A"/>
    <w:rsid w:val="00E75170"/>
    <w:rsid w:val="00E76697"/>
    <w:rsid w:val="00E907E0"/>
    <w:rsid w:val="00E92478"/>
    <w:rsid w:val="00E925A8"/>
    <w:rsid w:val="00EA4E61"/>
    <w:rsid w:val="00EA5A14"/>
    <w:rsid w:val="00EA781B"/>
    <w:rsid w:val="00EB3001"/>
    <w:rsid w:val="00EB4F70"/>
    <w:rsid w:val="00EC0684"/>
    <w:rsid w:val="00EC0FF4"/>
    <w:rsid w:val="00ED17EF"/>
    <w:rsid w:val="00ED193B"/>
    <w:rsid w:val="00EE169D"/>
    <w:rsid w:val="00EE696A"/>
    <w:rsid w:val="00EF1FF8"/>
    <w:rsid w:val="00EF587F"/>
    <w:rsid w:val="00F007B9"/>
    <w:rsid w:val="00F02532"/>
    <w:rsid w:val="00F02DDB"/>
    <w:rsid w:val="00F03C06"/>
    <w:rsid w:val="00F10D4C"/>
    <w:rsid w:val="00F14265"/>
    <w:rsid w:val="00F16DB1"/>
    <w:rsid w:val="00F1761D"/>
    <w:rsid w:val="00F21688"/>
    <w:rsid w:val="00F2197C"/>
    <w:rsid w:val="00F227BA"/>
    <w:rsid w:val="00F240EC"/>
    <w:rsid w:val="00F24946"/>
    <w:rsid w:val="00F26764"/>
    <w:rsid w:val="00F3755A"/>
    <w:rsid w:val="00F403F7"/>
    <w:rsid w:val="00F45EFE"/>
    <w:rsid w:val="00F8243F"/>
    <w:rsid w:val="00F9006F"/>
    <w:rsid w:val="00F91827"/>
    <w:rsid w:val="00F97DE2"/>
    <w:rsid w:val="00FA27E9"/>
    <w:rsid w:val="00FA4A57"/>
    <w:rsid w:val="00FA6B6C"/>
    <w:rsid w:val="00FB0FE0"/>
    <w:rsid w:val="00FB69B6"/>
    <w:rsid w:val="00FC5234"/>
    <w:rsid w:val="00FC684C"/>
    <w:rsid w:val="00FC6DED"/>
    <w:rsid w:val="00FD0133"/>
    <w:rsid w:val="00FD0C73"/>
    <w:rsid w:val="00FD2B40"/>
    <w:rsid w:val="00FD4BA7"/>
    <w:rsid w:val="00FD72C2"/>
    <w:rsid w:val="00FE2500"/>
    <w:rsid w:val="00FE2B33"/>
    <w:rsid w:val="00FE3303"/>
    <w:rsid w:val="00FF39CF"/>
    <w:rsid w:val="00FF65F1"/>
    <w:rsid w:val="00FF7C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84C5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171183">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546797158">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09304">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449935091">
      <w:bodyDiv w:val="1"/>
      <w:marLeft w:val="0"/>
      <w:marRight w:val="0"/>
      <w:marTop w:val="0"/>
      <w:marBottom w:val="0"/>
      <w:divBdr>
        <w:top w:val="none" w:sz="0" w:space="0" w:color="auto"/>
        <w:left w:val="none" w:sz="0" w:space="0" w:color="auto"/>
        <w:bottom w:val="none" w:sz="0" w:space="0" w:color="auto"/>
        <w:right w:val="none" w:sz="0" w:space="0" w:color="auto"/>
      </w:divBdr>
    </w:div>
    <w:div w:id="1513371551">
      <w:bodyDiv w:val="1"/>
      <w:marLeft w:val="0"/>
      <w:marRight w:val="0"/>
      <w:marTop w:val="0"/>
      <w:marBottom w:val="0"/>
      <w:divBdr>
        <w:top w:val="none" w:sz="0" w:space="0" w:color="auto"/>
        <w:left w:val="none" w:sz="0" w:space="0" w:color="auto"/>
        <w:bottom w:val="none" w:sz="0" w:space="0" w:color="auto"/>
        <w:right w:val="none" w:sz="0" w:space="0" w:color="auto"/>
      </w:divBdr>
    </w:div>
    <w:div w:id="151927647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6B2D-9AF1-4F5D-82C0-DFAD1B9D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Pages>
  <Words>2494</Words>
  <Characters>14217</Characters>
  <Application>Microsoft Office Word</Application>
  <DocSecurity>0</DocSecurity>
  <Lines>118</Lines>
  <Paragraphs>33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35</cp:revision>
  <dcterms:created xsi:type="dcterms:W3CDTF">2025-12-12T20:41:00Z</dcterms:created>
  <dcterms:modified xsi:type="dcterms:W3CDTF">2026-01-22T03:51:00Z</dcterms:modified>
</cp:coreProperties>
</file>