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53DC4" w14:textId="77777777" w:rsidR="00FA6DD7" w:rsidRDefault="00FA6DD7" w:rsidP="00AB284D">
      <w:pPr>
        <w:spacing w:after="0" w:line="360" w:lineRule="auto"/>
        <w:jc w:val="center"/>
        <w:rPr>
          <w:rFonts w:hint="cs"/>
          <w:noProof/>
          <w:rtl/>
          <w:lang w:bidi="ar-AE"/>
        </w:rPr>
      </w:pPr>
      <w:bookmarkStart w:id="0" w:name="_Hlk118186929"/>
      <w:bookmarkStart w:id="1" w:name="_Hlk130199252"/>
    </w:p>
    <w:p w14:paraId="0EEDC8DF" w14:textId="1895D63E" w:rsidR="00FC2129" w:rsidRDefault="00FA6DD7" w:rsidP="00AB284D">
      <w:pPr>
        <w:spacing w:after="0" w:line="360" w:lineRule="auto"/>
        <w:jc w:val="center"/>
        <w:rPr>
          <w:noProof/>
          <w:rtl/>
        </w:rPr>
      </w:pPr>
      <w:r>
        <w:rPr>
          <w:noProof/>
        </w:rPr>
        <w:drawing>
          <wp:inline distT="0" distB="0" distL="0" distR="0" wp14:anchorId="4748B7F4" wp14:editId="29A91490">
            <wp:extent cx="5135880" cy="937260"/>
            <wp:effectExtent l="0" t="0" r="7620"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7" r:link="rId8">
                      <a:extLst>
                        <a:ext uri="{28A0092B-C50C-407E-A947-70E740481C1C}">
                          <a14:useLocalDpi xmlns:a14="http://schemas.microsoft.com/office/drawing/2010/main" val="0"/>
                        </a:ext>
                      </a:extLst>
                    </a:blip>
                    <a:srcRect l="5001" r="8589" b="10923"/>
                    <a:stretch>
                      <a:fillRect/>
                    </a:stretch>
                  </pic:blipFill>
                  <pic:spPr bwMode="auto">
                    <a:xfrm>
                      <a:off x="0" y="0"/>
                      <a:ext cx="5135880" cy="937260"/>
                    </a:xfrm>
                    <a:prstGeom prst="rect">
                      <a:avLst/>
                    </a:prstGeom>
                    <a:noFill/>
                    <a:ln>
                      <a:noFill/>
                    </a:ln>
                    <a:extLst>
                      <a:ext uri="{53640926-AAD7-44D8-BBD7-CCE9431645EC}">
                        <a14:shadowObscured xmlns:a14="http://schemas.microsoft.com/office/drawing/2010/main"/>
                      </a:ext>
                    </a:extLst>
                  </pic:spPr>
                </pic:pic>
              </a:graphicData>
            </a:graphic>
          </wp:inline>
        </w:drawing>
      </w:r>
    </w:p>
    <w:p w14:paraId="4D3415F9" w14:textId="73A79E41" w:rsidR="006C60B7" w:rsidRPr="00AB284D" w:rsidRDefault="006C60B7" w:rsidP="006C60B7">
      <w:pPr>
        <w:spacing w:after="0" w:line="360" w:lineRule="auto"/>
        <w:jc w:val="center"/>
        <w:rPr>
          <w:rFonts w:ascii="Times New Roman" w:eastAsia="Times New Roman" w:hAnsi="Times New Roman" w:cs="Times New Roman"/>
          <w:b/>
          <w:bCs/>
          <w:noProof/>
          <w:sz w:val="52"/>
          <w:szCs w:val="36"/>
        </w:rPr>
      </w:pPr>
      <w:bookmarkStart w:id="2" w:name="_Hlk226539595"/>
      <w:bookmarkStart w:id="3" w:name="_Hlk223945229"/>
      <w:bookmarkStart w:id="4" w:name="_Hlk239933645"/>
      <w:bookmarkStart w:id="5" w:name="_Hlk166763827"/>
      <w:r w:rsidRPr="00AB284D">
        <w:rPr>
          <w:rFonts w:ascii="Times New Roman" w:eastAsia="Times New Roman" w:hAnsi="Times New Roman" w:cs="Times New Roman"/>
          <w:b/>
          <w:bCs/>
          <w:noProof/>
          <w:sz w:val="52"/>
          <w:szCs w:val="36"/>
          <w:rtl/>
        </w:rPr>
        <w:t xml:space="preserve">جلسة </w:t>
      </w:r>
      <w:r w:rsidRPr="00AB284D">
        <w:rPr>
          <w:rFonts w:ascii="Times New Roman" w:eastAsia="Times New Roman" w:hAnsi="Times New Roman" w:cs="Times New Roman" w:hint="cs"/>
          <w:b/>
          <w:bCs/>
          <w:noProof/>
          <w:sz w:val="52"/>
          <w:szCs w:val="36"/>
          <w:rtl/>
        </w:rPr>
        <w:t>الأربعاء</w:t>
      </w:r>
      <w:r w:rsidRPr="00AB284D">
        <w:rPr>
          <w:rFonts w:ascii="Times New Roman" w:eastAsia="Times New Roman" w:hAnsi="Times New Roman" w:cs="Times New Roman"/>
          <w:b/>
          <w:bCs/>
          <w:noProof/>
          <w:sz w:val="52"/>
          <w:szCs w:val="36"/>
          <w:rtl/>
        </w:rPr>
        <w:t xml:space="preserve"> الموافق </w:t>
      </w:r>
      <w:r w:rsidR="00455E92">
        <w:rPr>
          <w:rFonts w:ascii="Times New Roman" w:eastAsia="Times New Roman" w:hAnsi="Times New Roman" w:cs="Times New Roman" w:hint="cs"/>
          <w:b/>
          <w:bCs/>
          <w:noProof/>
          <w:sz w:val="52"/>
          <w:szCs w:val="36"/>
          <w:rtl/>
        </w:rPr>
        <w:t>19</w:t>
      </w:r>
      <w:r w:rsidRPr="00AB284D">
        <w:rPr>
          <w:rFonts w:ascii="Times New Roman" w:eastAsia="Times New Roman" w:hAnsi="Times New Roman" w:cs="Times New Roman"/>
          <w:b/>
          <w:bCs/>
          <w:noProof/>
          <w:sz w:val="52"/>
          <w:szCs w:val="36"/>
          <w:rtl/>
        </w:rPr>
        <w:t xml:space="preserve"> من </w:t>
      </w:r>
      <w:r w:rsidR="00F647B0">
        <w:rPr>
          <w:rFonts w:ascii="Times New Roman" w:eastAsia="Times New Roman" w:hAnsi="Times New Roman" w:cs="Times New Roman" w:hint="cs"/>
          <w:b/>
          <w:bCs/>
          <w:noProof/>
          <w:sz w:val="52"/>
          <w:szCs w:val="36"/>
          <w:rtl/>
        </w:rPr>
        <w:t>أغسطس</w:t>
      </w:r>
      <w:r w:rsidRPr="00AB284D">
        <w:rPr>
          <w:rFonts w:ascii="Times New Roman" w:eastAsia="Times New Roman" w:hAnsi="Times New Roman" w:cs="Times New Roman"/>
          <w:b/>
          <w:bCs/>
          <w:noProof/>
          <w:sz w:val="52"/>
          <w:szCs w:val="36"/>
          <w:rtl/>
        </w:rPr>
        <w:t xml:space="preserve"> سنة </w:t>
      </w:r>
      <w:r>
        <w:rPr>
          <w:rFonts w:ascii="Times New Roman" w:eastAsia="Times New Roman" w:hAnsi="Times New Roman" w:cs="Times New Roman" w:hint="cs"/>
          <w:b/>
          <w:bCs/>
          <w:noProof/>
          <w:sz w:val="52"/>
          <w:szCs w:val="36"/>
          <w:rtl/>
        </w:rPr>
        <w:t>2026</w:t>
      </w:r>
    </w:p>
    <w:p w14:paraId="623BC78C" w14:textId="663F2764" w:rsidR="006C60B7" w:rsidRPr="00F964CD" w:rsidRDefault="006C60B7" w:rsidP="002E5626">
      <w:pPr>
        <w:spacing w:after="0" w:line="360" w:lineRule="auto"/>
        <w:jc w:val="center"/>
        <w:rPr>
          <w:rFonts w:ascii="Times New Roman" w:eastAsia="Times New Roman" w:hAnsi="Times New Roman" w:cs="Times New Roman"/>
          <w:noProof/>
          <w:sz w:val="32"/>
          <w:szCs w:val="32"/>
        </w:rPr>
      </w:pPr>
      <w:r w:rsidRPr="00F964CD">
        <w:rPr>
          <w:rFonts w:ascii="Times New Roman" w:eastAsia="Times New Roman" w:hAnsi="Times New Roman" w:cs="Times New Roman"/>
          <w:noProof/>
          <w:sz w:val="32"/>
          <w:szCs w:val="32"/>
          <w:rtl/>
        </w:rPr>
        <w:t xml:space="preserve">برئاسة القاضي / </w:t>
      </w:r>
      <w:r w:rsidRPr="00F964CD">
        <w:rPr>
          <w:rFonts w:ascii="Times New Roman" w:eastAsia="Times New Roman" w:hAnsi="Times New Roman" w:cs="Times New Roman" w:hint="cs"/>
          <w:noProof/>
          <w:sz w:val="32"/>
          <w:szCs w:val="32"/>
          <w:rtl/>
        </w:rPr>
        <w:t xml:space="preserve">داود إبراهيم أبو الشوارب </w:t>
      </w:r>
      <w:r w:rsidRPr="00F964CD">
        <w:rPr>
          <w:rFonts w:ascii="Times New Roman" w:eastAsia="Times New Roman" w:hAnsi="Times New Roman" w:cs="Times New Roman"/>
          <w:noProof/>
          <w:sz w:val="32"/>
          <w:szCs w:val="32"/>
          <w:rtl/>
        </w:rPr>
        <w:t>"رئيس الدائرة"</w:t>
      </w:r>
    </w:p>
    <w:p w14:paraId="2A633AC0" w14:textId="2C2137AE" w:rsidR="006C60B7" w:rsidRPr="00F964CD" w:rsidRDefault="006C60B7" w:rsidP="002E5626">
      <w:pPr>
        <w:spacing w:after="0" w:line="360" w:lineRule="auto"/>
        <w:jc w:val="center"/>
        <w:rPr>
          <w:rFonts w:ascii="Times New Roman" w:eastAsia="Times New Roman" w:hAnsi="Times New Roman" w:cs="Times New Roman"/>
          <w:noProof/>
          <w:sz w:val="32"/>
          <w:szCs w:val="32"/>
        </w:rPr>
      </w:pPr>
      <w:r w:rsidRPr="00F964CD">
        <w:rPr>
          <w:rFonts w:ascii="Times New Roman" w:eastAsia="Times New Roman" w:hAnsi="Times New Roman" w:cs="Times New Roman" w:hint="cs"/>
          <w:noProof/>
          <w:sz w:val="32"/>
          <w:szCs w:val="32"/>
          <w:rtl/>
        </w:rPr>
        <w:t xml:space="preserve">وعضوية القضاة / </w:t>
      </w:r>
      <w:r w:rsidR="00F647B0">
        <w:rPr>
          <w:rFonts w:ascii="Times New Roman" w:eastAsia="Times New Roman" w:hAnsi="Times New Roman" w:cs="Times New Roman" w:hint="cs"/>
          <w:noProof/>
          <w:sz w:val="32"/>
          <w:szCs w:val="32"/>
          <w:rtl/>
        </w:rPr>
        <w:t>صبري شمس الدين محمد</w:t>
      </w:r>
      <w:r w:rsidR="00F964CD" w:rsidRPr="00F964CD">
        <w:rPr>
          <w:rFonts w:ascii="Times New Roman" w:eastAsia="Times New Roman" w:hAnsi="Times New Roman" w:cs="Times New Roman" w:hint="cs"/>
          <w:noProof/>
          <w:sz w:val="32"/>
          <w:szCs w:val="32"/>
          <w:rtl/>
        </w:rPr>
        <w:t xml:space="preserve"> و</w:t>
      </w:r>
      <w:r w:rsidRPr="00F964CD">
        <w:rPr>
          <w:rFonts w:ascii="Times New Roman" w:eastAsia="Times New Roman" w:hAnsi="Times New Roman" w:cs="Times New Roman" w:hint="cs"/>
          <w:noProof/>
          <w:sz w:val="32"/>
          <w:szCs w:val="32"/>
          <w:rtl/>
        </w:rPr>
        <w:t>د. حسن محمد حسن هند.</w:t>
      </w:r>
    </w:p>
    <w:p w14:paraId="3BD19903" w14:textId="77777777" w:rsidR="006C60B7" w:rsidRPr="00AB284D" w:rsidRDefault="006C60B7" w:rsidP="006C60B7">
      <w:pPr>
        <w:tabs>
          <w:tab w:val="left" w:pos="5300"/>
        </w:tabs>
        <w:spacing w:after="0" w:line="360" w:lineRule="auto"/>
        <w:jc w:val="center"/>
        <w:rPr>
          <w:rFonts w:ascii="Times New Roman" w:eastAsia="Times New Roman" w:hAnsi="Times New Roman" w:cs="Times New Roman"/>
          <w:b/>
          <w:bCs/>
          <w:noProof/>
          <w:sz w:val="36"/>
          <w:szCs w:val="36"/>
        </w:rPr>
      </w:pPr>
      <w:r w:rsidRPr="00AB284D">
        <w:rPr>
          <w:rFonts w:ascii="Times New Roman" w:eastAsia="Times New Roman" w:hAnsi="Times New Roman" w:cs="Times New Roman"/>
          <w:b/>
          <w:bCs/>
          <w:noProof/>
          <w:sz w:val="36"/>
          <w:szCs w:val="36"/>
          <w:rtl/>
        </w:rPr>
        <w:t xml:space="preserve"> (    )</w:t>
      </w:r>
    </w:p>
    <w:p w14:paraId="72E7E9F2" w14:textId="4FA518D6" w:rsidR="006C60B7" w:rsidRPr="00AB284D" w:rsidRDefault="006C60B7" w:rsidP="006C60B7">
      <w:pPr>
        <w:spacing w:after="0" w:line="360" w:lineRule="auto"/>
        <w:jc w:val="center"/>
        <w:rPr>
          <w:rFonts w:ascii="Times New Roman" w:eastAsia="Times New Roman" w:hAnsi="Times New Roman" w:cs="Times New Roman"/>
          <w:b/>
          <w:bCs/>
          <w:noProof/>
          <w:sz w:val="36"/>
          <w:szCs w:val="36"/>
        </w:rPr>
      </w:pPr>
      <w:r w:rsidRPr="00AB284D">
        <w:rPr>
          <w:rFonts w:ascii="Times New Roman" w:eastAsia="Times New Roman" w:hAnsi="Times New Roman" w:cs="Times New Roman"/>
          <w:b/>
          <w:bCs/>
          <w:noProof/>
          <w:sz w:val="36"/>
          <w:szCs w:val="36"/>
          <w:rtl/>
        </w:rPr>
        <w:t xml:space="preserve">الطعن رقم </w:t>
      </w:r>
      <w:r w:rsidR="00237A75">
        <w:rPr>
          <w:rFonts w:ascii="Times New Roman" w:eastAsia="Times New Roman" w:hAnsi="Times New Roman" w:cs="Times New Roman" w:hint="cs"/>
          <w:b/>
          <w:bCs/>
          <w:noProof/>
          <w:sz w:val="36"/>
          <w:szCs w:val="36"/>
          <w:rtl/>
        </w:rPr>
        <w:t>238</w:t>
      </w:r>
      <w:r w:rsidRPr="00AB284D">
        <w:rPr>
          <w:rFonts w:ascii="Times New Roman" w:eastAsia="Times New Roman" w:hAnsi="Times New Roman" w:cs="Times New Roman"/>
          <w:b/>
          <w:bCs/>
          <w:noProof/>
          <w:sz w:val="36"/>
          <w:szCs w:val="36"/>
          <w:rtl/>
        </w:rPr>
        <w:t xml:space="preserve"> لسنة </w:t>
      </w:r>
      <w:r w:rsidR="00F964CD">
        <w:rPr>
          <w:rFonts w:ascii="Times New Roman" w:eastAsia="Times New Roman" w:hAnsi="Times New Roman" w:cs="Times New Roman" w:hint="cs"/>
          <w:b/>
          <w:bCs/>
          <w:noProof/>
          <w:sz w:val="36"/>
          <w:szCs w:val="36"/>
          <w:rtl/>
        </w:rPr>
        <w:t>2026</w:t>
      </w:r>
      <w:r w:rsidRPr="00AB284D">
        <w:rPr>
          <w:rFonts w:ascii="Times New Roman" w:eastAsia="Times New Roman" w:hAnsi="Times New Roman" w:cs="Times New Roman"/>
          <w:b/>
          <w:bCs/>
          <w:noProof/>
          <w:sz w:val="36"/>
          <w:szCs w:val="36"/>
          <w:rtl/>
        </w:rPr>
        <w:t xml:space="preserve"> إداري</w:t>
      </w:r>
    </w:p>
    <w:p w14:paraId="4606CB4B" w14:textId="712ED7BE" w:rsidR="006C60B7" w:rsidRPr="00B204A8" w:rsidRDefault="008000C9" w:rsidP="006C60B7">
      <w:pPr>
        <w:tabs>
          <w:tab w:val="left" w:pos="3221"/>
        </w:tabs>
        <w:spacing w:after="0" w:line="360" w:lineRule="auto"/>
        <w:rPr>
          <w:rFonts w:ascii="Times New Roman" w:eastAsia="Times New Roman" w:hAnsi="Times New Roman" w:cs="Times New Roman"/>
          <w:b/>
          <w:bCs/>
          <w:sz w:val="28"/>
          <w:szCs w:val="28"/>
          <w:rtl/>
          <w:lang w:eastAsia="ar-SA" w:bidi="ar-AE"/>
        </w:rPr>
      </w:pPr>
      <w:r w:rsidRPr="008000C9">
        <w:rPr>
          <w:rFonts w:ascii="Times New Roman" w:eastAsia="Times New Roman" w:hAnsi="Times New Roman" w:cs="Times New Roman"/>
          <w:b/>
          <w:bCs/>
          <w:sz w:val="28"/>
          <w:szCs w:val="28"/>
          <w:rtl/>
          <w:lang w:eastAsia="ar-SA" w:bidi="ar-AE"/>
        </w:rPr>
        <w:t xml:space="preserve">(1- 4) </w:t>
      </w:r>
      <w:r w:rsidR="009225A0">
        <w:rPr>
          <w:rFonts w:ascii="Times New Roman" w:eastAsia="Times New Roman" w:hAnsi="Times New Roman" w:cs="Times New Roman" w:hint="cs"/>
          <w:b/>
          <w:bCs/>
          <w:sz w:val="28"/>
          <w:szCs w:val="28"/>
          <w:rtl/>
          <w:lang w:eastAsia="ar-SA" w:bidi="ar-AE"/>
        </w:rPr>
        <w:t>استئناف</w:t>
      </w:r>
      <w:r w:rsidR="00C04B32">
        <w:rPr>
          <w:rFonts w:ascii="Times New Roman" w:eastAsia="Times New Roman" w:hAnsi="Times New Roman" w:cs="Times New Roman" w:hint="cs"/>
          <w:b/>
          <w:bCs/>
          <w:sz w:val="28"/>
          <w:szCs w:val="28"/>
          <w:rtl/>
          <w:lang w:eastAsia="ar-SA" w:bidi="ar-AE"/>
        </w:rPr>
        <w:t xml:space="preserve"> ": الأثر الناقل للاستئناف "</w:t>
      </w:r>
      <w:r w:rsidR="00D61CEA">
        <w:rPr>
          <w:rFonts w:ascii="Times New Roman" w:eastAsia="Times New Roman" w:hAnsi="Times New Roman" w:cs="Times New Roman" w:hint="cs"/>
          <w:b/>
          <w:bCs/>
          <w:sz w:val="28"/>
          <w:szCs w:val="28"/>
          <w:rtl/>
          <w:lang w:eastAsia="ar-SA" w:bidi="ar-AE"/>
        </w:rPr>
        <w:t xml:space="preserve">. </w:t>
      </w:r>
      <w:r w:rsidR="00D61CEA" w:rsidRPr="008000C9">
        <w:rPr>
          <w:rFonts w:ascii="Times New Roman" w:eastAsia="Times New Roman" w:hAnsi="Times New Roman" w:cs="Times New Roman"/>
          <w:b/>
          <w:bCs/>
          <w:sz w:val="28"/>
          <w:szCs w:val="28"/>
          <w:rtl/>
          <w:lang w:eastAsia="ar-SA" w:bidi="ar-AE"/>
        </w:rPr>
        <w:t xml:space="preserve">حكم "تسبيب الحكم: </w:t>
      </w:r>
      <w:r w:rsidR="00D61CEA">
        <w:rPr>
          <w:rFonts w:ascii="Times New Roman" w:eastAsia="Times New Roman" w:hAnsi="Times New Roman" w:cs="Times New Roman" w:hint="cs"/>
          <w:b/>
          <w:bCs/>
          <w:sz w:val="28"/>
          <w:szCs w:val="28"/>
          <w:rtl/>
          <w:lang w:eastAsia="ar-SA" w:bidi="ar-AE"/>
        </w:rPr>
        <w:t xml:space="preserve">التسبيب </w:t>
      </w:r>
      <w:r w:rsidR="008D59B7">
        <w:rPr>
          <w:rFonts w:ascii="Times New Roman" w:eastAsia="Times New Roman" w:hAnsi="Times New Roman" w:cs="Times New Roman" w:hint="cs"/>
          <w:b/>
          <w:bCs/>
          <w:sz w:val="28"/>
          <w:szCs w:val="28"/>
          <w:rtl/>
          <w:lang w:eastAsia="ar-SA" w:bidi="ar-AE"/>
        </w:rPr>
        <w:t>الكافي</w:t>
      </w:r>
      <w:r w:rsidR="00D61CEA" w:rsidRPr="008000C9">
        <w:rPr>
          <w:rFonts w:ascii="Times New Roman" w:eastAsia="Times New Roman" w:hAnsi="Times New Roman" w:cs="Times New Roman"/>
          <w:b/>
          <w:bCs/>
          <w:sz w:val="28"/>
          <w:szCs w:val="28"/>
          <w:rtl/>
          <w:lang w:eastAsia="ar-SA" w:bidi="ar-AE"/>
        </w:rPr>
        <w:t>"</w:t>
      </w:r>
      <w:r w:rsidR="00D61CEA">
        <w:rPr>
          <w:rFonts w:ascii="Times New Roman" w:eastAsia="Times New Roman" w:hAnsi="Times New Roman" w:cs="Times New Roman" w:hint="cs"/>
          <w:b/>
          <w:bCs/>
          <w:sz w:val="28"/>
          <w:szCs w:val="28"/>
          <w:rtl/>
          <w:lang w:eastAsia="ar-SA" w:bidi="ar-AE"/>
        </w:rPr>
        <w:t>. خبرة " تقدير عمل الخبير "</w:t>
      </w:r>
      <w:r w:rsidR="00C04B32">
        <w:rPr>
          <w:rFonts w:ascii="Times New Roman" w:eastAsia="Times New Roman" w:hAnsi="Times New Roman" w:cs="Times New Roman" w:hint="cs"/>
          <w:b/>
          <w:bCs/>
          <w:sz w:val="28"/>
          <w:szCs w:val="28"/>
          <w:rtl/>
          <w:lang w:eastAsia="ar-SA" w:bidi="ar-AE"/>
        </w:rPr>
        <w:t xml:space="preserve"> . </w:t>
      </w:r>
      <w:r w:rsidRPr="008000C9">
        <w:rPr>
          <w:rFonts w:ascii="Times New Roman" w:eastAsia="Times New Roman" w:hAnsi="Times New Roman" w:cs="Times New Roman"/>
          <w:b/>
          <w:bCs/>
          <w:sz w:val="28"/>
          <w:szCs w:val="28"/>
          <w:rtl/>
          <w:lang w:eastAsia="ar-SA" w:bidi="ar-AE"/>
        </w:rPr>
        <w:t xml:space="preserve">موارد بشرية "نظام البدلات والمكافآت: بدل السكن: شروط استحقاقه". </w:t>
      </w:r>
    </w:p>
    <w:p w14:paraId="0DB1E91F" w14:textId="54C7E2E7" w:rsidR="006C60B7" w:rsidRDefault="00C04B32" w:rsidP="009D74D4">
      <w:pPr>
        <w:tabs>
          <w:tab w:val="left" w:pos="3221"/>
        </w:tabs>
        <w:spacing w:after="0" w:line="360" w:lineRule="auto"/>
        <w:ind w:firstLine="630"/>
        <w:jc w:val="both"/>
        <w:rPr>
          <w:rFonts w:ascii="Times New Roman" w:eastAsia="Times New Roman" w:hAnsi="Times New Roman" w:cs="Times New Roman"/>
          <w:sz w:val="28"/>
          <w:szCs w:val="28"/>
          <w:rtl/>
          <w:lang w:eastAsia="ar-SA" w:bidi="ar-AE"/>
        </w:rPr>
      </w:pPr>
      <w:r>
        <w:rPr>
          <w:rFonts w:ascii="Times New Roman" w:eastAsia="Times New Roman" w:hAnsi="Times New Roman" w:cs="Times New Roman" w:hint="cs"/>
          <w:sz w:val="28"/>
          <w:szCs w:val="28"/>
          <w:rtl/>
          <w:lang w:eastAsia="ar-SA" w:bidi="ar-AE"/>
        </w:rPr>
        <w:t>(1)</w:t>
      </w:r>
      <w:r w:rsidR="00CC11D1">
        <w:rPr>
          <w:rFonts w:ascii="Times New Roman" w:eastAsia="Times New Roman" w:hAnsi="Times New Roman" w:cs="Times New Roman" w:hint="cs"/>
          <w:sz w:val="28"/>
          <w:szCs w:val="28"/>
          <w:rtl/>
          <w:lang w:eastAsia="ar-SA" w:bidi="ar-AE"/>
        </w:rPr>
        <w:t xml:space="preserve"> </w:t>
      </w:r>
      <w:r w:rsidR="00220ABD">
        <w:rPr>
          <w:rFonts w:ascii="Times New Roman" w:hAnsi="Times New Roman" w:cs="Times New Roman" w:hint="cs"/>
          <w:sz w:val="28"/>
          <w:szCs w:val="28"/>
          <w:rtl/>
        </w:rPr>
        <w:t>الأثر الناقل للاستئناف. ماهيته</w:t>
      </w:r>
      <w:r w:rsidR="00CC11D1">
        <w:rPr>
          <w:rFonts w:ascii="Times New Roman" w:eastAsia="Times New Roman" w:hAnsi="Times New Roman" w:cs="Times New Roman" w:hint="cs"/>
          <w:sz w:val="28"/>
          <w:szCs w:val="28"/>
          <w:rtl/>
          <w:lang w:eastAsia="ar-SA" w:bidi="ar-AE"/>
        </w:rPr>
        <w:t>. إعادة طرح</w:t>
      </w:r>
      <w:r w:rsidR="00CC11D1" w:rsidRPr="00CC11D1">
        <w:rPr>
          <w:rFonts w:ascii="Times New Roman" w:eastAsia="Times New Roman" w:hAnsi="Times New Roman" w:cs="Times New Roman"/>
          <w:sz w:val="28"/>
          <w:szCs w:val="28"/>
          <w:rtl/>
          <w:lang w:eastAsia="ar-SA" w:bidi="ar-AE"/>
        </w:rPr>
        <w:t xml:space="preserve"> موضوع </w:t>
      </w:r>
      <w:r w:rsidR="00CC11D1">
        <w:rPr>
          <w:rFonts w:ascii="Times New Roman" w:eastAsia="Times New Roman" w:hAnsi="Times New Roman" w:cs="Times New Roman" w:hint="cs"/>
          <w:sz w:val="28"/>
          <w:szCs w:val="28"/>
          <w:rtl/>
          <w:lang w:eastAsia="ar-SA" w:bidi="ar-AE"/>
        </w:rPr>
        <w:t>الدعوى على محكمة الاستئناف</w:t>
      </w:r>
      <w:r w:rsidR="00CC11D1" w:rsidRPr="00CC11D1">
        <w:rPr>
          <w:rFonts w:ascii="Times New Roman" w:eastAsia="Times New Roman" w:hAnsi="Times New Roman" w:cs="Times New Roman"/>
          <w:sz w:val="28"/>
          <w:szCs w:val="28"/>
          <w:rtl/>
          <w:lang w:eastAsia="ar-SA" w:bidi="ar-AE"/>
        </w:rPr>
        <w:t xml:space="preserve"> بكل ما اشتمل عليه من أدلة ودفوع وأوجه دفاع لتفصل فيه من جديد في حدود ما رفع عنه الاستئناف</w:t>
      </w:r>
      <w:r w:rsidR="00CC11D1">
        <w:rPr>
          <w:rFonts w:ascii="Times New Roman" w:eastAsia="Times New Roman" w:hAnsi="Times New Roman" w:cs="Times New Roman" w:hint="cs"/>
          <w:sz w:val="28"/>
          <w:szCs w:val="28"/>
          <w:rtl/>
          <w:lang w:eastAsia="ar-SA" w:bidi="ar-AE"/>
        </w:rPr>
        <w:t>. علة ذلك</w:t>
      </w:r>
      <w:r w:rsidR="00CC11D1" w:rsidRPr="00CC11D1">
        <w:rPr>
          <w:rFonts w:ascii="Times New Roman" w:eastAsia="Times New Roman" w:hAnsi="Times New Roman" w:cs="Times New Roman"/>
          <w:sz w:val="28"/>
          <w:szCs w:val="28"/>
          <w:rtl/>
          <w:lang w:eastAsia="ar-SA" w:bidi="ar-AE"/>
        </w:rPr>
        <w:t xml:space="preserve"> </w:t>
      </w:r>
      <w:r w:rsidR="00CC11D1">
        <w:rPr>
          <w:rFonts w:ascii="Times New Roman" w:eastAsia="Times New Roman" w:hAnsi="Times New Roman" w:cs="Times New Roman" w:hint="cs"/>
          <w:sz w:val="28"/>
          <w:szCs w:val="28"/>
          <w:rtl/>
          <w:lang w:eastAsia="ar-SA" w:bidi="ar-AE"/>
        </w:rPr>
        <w:t>.</w:t>
      </w:r>
      <w:r w:rsidR="00CC11D1" w:rsidRPr="00CC11D1">
        <w:rPr>
          <w:rFonts w:ascii="Times New Roman" w:eastAsia="Times New Roman" w:hAnsi="Times New Roman" w:cs="Times New Roman"/>
          <w:sz w:val="28"/>
          <w:szCs w:val="28"/>
          <w:rtl/>
          <w:lang w:eastAsia="ar-SA" w:bidi="ar-AE"/>
        </w:rPr>
        <w:t xml:space="preserve"> </w:t>
      </w:r>
    </w:p>
    <w:p w14:paraId="2B5B2550" w14:textId="64C9CF36" w:rsidR="00F05A3E" w:rsidRDefault="00F05A3E" w:rsidP="009D74D4">
      <w:pPr>
        <w:tabs>
          <w:tab w:val="left" w:pos="3221"/>
        </w:tabs>
        <w:spacing w:after="0" w:line="360" w:lineRule="auto"/>
        <w:ind w:firstLine="630"/>
        <w:jc w:val="both"/>
        <w:rPr>
          <w:rFonts w:ascii="Times New Roman" w:eastAsia="Times New Roman" w:hAnsi="Times New Roman" w:cs="Times New Roman"/>
          <w:sz w:val="28"/>
          <w:szCs w:val="28"/>
          <w:rtl/>
          <w:lang w:eastAsia="ar-SA" w:bidi="ar-AE"/>
        </w:rPr>
      </w:pPr>
      <w:r>
        <w:rPr>
          <w:rFonts w:ascii="Times New Roman" w:eastAsia="Times New Roman" w:hAnsi="Times New Roman" w:cs="Times New Roman" w:hint="cs"/>
          <w:sz w:val="28"/>
          <w:szCs w:val="28"/>
          <w:rtl/>
          <w:lang w:eastAsia="ar-SA" w:bidi="ar-AE"/>
        </w:rPr>
        <w:t>(2) تفسير المحررات و تحصيل فهم الواقع في الدعوى و تقدير الأدلة و تقدير عمل الخبراء و الترجيح بين عناصر الاثبات. من سلطة محكمة الموضوع .شرطه . حمل قضائها على أسباب سائغة .</w:t>
      </w:r>
    </w:p>
    <w:p w14:paraId="2D1F3072" w14:textId="06CC3A61" w:rsidR="00F05A3E" w:rsidRDefault="00F05A3E" w:rsidP="009D74D4">
      <w:pPr>
        <w:tabs>
          <w:tab w:val="left" w:pos="3221"/>
        </w:tabs>
        <w:spacing w:after="0" w:line="360" w:lineRule="auto"/>
        <w:ind w:firstLine="630"/>
        <w:jc w:val="both"/>
        <w:rPr>
          <w:rFonts w:ascii="Times New Roman" w:eastAsia="Times New Roman" w:hAnsi="Times New Roman" w:cs="Times New Roman"/>
          <w:sz w:val="28"/>
          <w:szCs w:val="28"/>
          <w:rtl/>
          <w:lang w:eastAsia="ar-SA" w:bidi="ar-AE"/>
        </w:rPr>
      </w:pPr>
      <w:r>
        <w:rPr>
          <w:rFonts w:ascii="Times New Roman" w:eastAsia="Times New Roman" w:hAnsi="Times New Roman" w:cs="Times New Roman" w:hint="cs"/>
          <w:sz w:val="28"/>
          <w:szCs w:val="28"/>
          <w:rtl/>
          <w:lang w:eastAsia="ar-SA" w:bidi="ar-AE"/>
        </w:rPr>
        <w:t xml:space="preserve">(3)تقدير عمل الخبير. من سلطة محكمة الموضوع التقديرية . </w:t>
      </w:r>
      <w:r w:rsidR="009D74D4">
        <w:rPr>
          <w:rFonts w:ascii="Times New Roman" w:eastAsia="Times New Roman" w:hAnsi="Times New Roman" w:cs="Times New Roman" w:hint="cs"/>
          <w:sz w:val="28"/>
          <w:szCs w:val="28"/>
          <w:rtl/>
          <w:lang w:eastAsia="ar-SA" w:bidi="ar-AE"/>
        </w:rPr>
        <w:t xml:space="preserve">الأخذ به محمولا على أسابه . شرطه . كفايته لتكوين عقيدة المحكمة للفصل في الدعوى . أثره . عدم التزام المحكمة بالرد استقلالاً على ما يثيره الخصوم من مطاعن . علة ذلك . </w:t>
      </w:r>
    </w:p>
    <w:p w14:paraId="63E85289" w14:textId="54190D50" w:rsidR="009D74D4" w:rsidRPr="00C32D5F" w:rsidRDefault="009D74D4" w:rsidP="009D74D4">
      <w:pPr>
        <w:tabs>
          <w:tab w:val="left" w:pos="3221"/>
        </w:tabs>
        <w:spacing w:after="0" w:line="360" w:lineRule="auto"/>
        <w:ind w:firstLine="630"/>
        <w:jc w:val="both"/>
        <w:rPr>
          <w:rFonts w:ascii="Times New Roman" w:eastAsia="Times New Roman" w:hAnsi="Times New Roman" w:cs="Times New Roman"/>
          <w:sz w:val="28"/>
          <w:szCs w:val="28"/>
          <w:lang w:eastAsia="ar-SA" w:bidi="ar-AE"/>
        </w:rPr>
      </w:pPr>
      <w:r>
        <w:rPr>
          <w:rFonts w:ascii="Times New Roman" w:eastAsia="Times New Roman" w:hAnsi="Times New Roman" w:cs="Times New Roman" w:hint="cs"/>
          <w:sz w:val="28"/>
          <w:szCs w:val="28"/>
          <w:rtl/>
          <w:lang w:eastAsia="ar-SA" w:bidi="ar-AE"/>
        </w:rPr>
        <w:t xml:space="preserve">(4)ثبوت عدم تقاضى </w:t>
      </w:r>
      <w:r w:rsidRPr="009D74D4">
        <w:rPr>
          <w:rFonts w:ascii="Times New Roman" w:eastAsia="Times New Roman" w:hAnsi="Times New Roman" w:cs="Times New Roman"/>
          <w:sz w:val="28"/>
          <w:szCs w:val="28"/>
          <w:rtl/>
          <w:lang w:eastAsia="ar-SA" w:bidi="ar-AE"/>
        </w:rPr>
        <w:t xml:space="preserve">زوج </w:t>
      </w:r>
      <w:r w:rsidRPr="007D5961">
        <w:rPr>
          <w:rFonts w:ascii="Times New Roman" w:eastAsia="Times New Roman" w:hAnsi="Times New Roman" w:cs="Times New Roman"/>
          <w:sz w:val="28"/>
          <w:szCs w:val="28"/>
          <w:rtl/>
          <w:lang w:eastAsia="ar-SA" w:bidi="ar-AE"/>
        </w:rPr>
        <w:t xml:space="preserve">المطعون ضدها </w:t>
      </w:r>
      <w:r w:rsidR="008D59B7" w:rsidRPr="007D5961">
        <w:rPr>
          <w:rFonts w:ascii="Times New Roman" w:eastAsia="Times New Roman" w:hAnsi="Times New Roman" w:cs="Times New Roman" w:hint="cs"/>
          <w:sz w:val="28"/>
          <w:szCs w:val="28"/>
          <w:rtl/>
          <w:lang w:eastAsia="ar-SA" w:bidi="ar-AE"/>
        </w:rPr>
        <w:t xml:space="preserve">بدل سكن </w:t>
      </w:r>
      <w:r w:rsidRPr="007D5961">
        <w:rPr>
          <w:rFonts w:ascii="Times New Roman" w:eastAsia="Times New Roman" w:hAnsi="Times New Roman" w:cs="Times New Roman" w:hint="cs"/>
          <w:sz w:val="28"/>
          <w:szCs w:val="28"/>
          <w:rtl/>
          <w:lang w:eastAsia="ar-SA" w:bidi="ar-AE"/>
        </w:rPr>
        <w:t xml:space="preserve">وتدليلها </w:t>
      </w:r>
      <w:r>
        <w:rPr>
          <w:rFonts w:ascii="Times New Roman" w:eastAsia="Times New Roman" w:hAnsi="Times New Roman" w:cs="Times New Roman" w:hint="cs"/>
          <w:sz w:val="28"/>
          <w:szCs w:val="28"/>
          <w:rtl/>
          <w:lang w:eastAsia="ar-SA" w:bidi="ar-AE"/>
        </w:rPr>
        <w:t xml:space="preserve">على ذلك بمستندات . </w:t>
      </w:r>
      <w:r w:rsidR="00D61CEA">
        <w:rPr>
          <w:rFonts w:ascii="Times New Roman" w:eastAsia="Times New Roman" w:hAnsi="Times New Roman" w:cs="Times New Roman" w:hint="cs"/>
          <w:sz w:val="28"/>
          <w:szCs w:val="28"/>
          <w:rtl/>
          <w:lang w:eastAsia="ar-SA" w:bidi="ar-AE"/>
        </w:rPr>
        <w:t>أثره</w:t>
      </w:r>
      <w:r>
        <w:rPr>
          <w:rFonts w:ascii="Times New Roman" w:eastAsia="Times New Roman" w:hAnsi="Times New Roman" w:cs="Times New Roman" w:hint="cs"/>
          <w:sz w:val="28"/>
          <w:szCs w:val="28"/>
          <w:rtl/>
          <w:lang w:eastAsia="ar-SA" w:bidi="ar-AE"/>
        </w:rPr>
        <w:t xml:space="preserve"> .</w:t>
      </w:r>
      <w:r w:rsidRPr="009D74D4">
        <w:rPr>
          <w:rFonts w:ascii="Times New Roman" w:eastAsia="Times New Roman" w:hAnsi="Times New Roman" w:cs="Times New Roman"/>
          <w:sz w:val="28"/>
          <w:szCs w:val="28"/>
          <w:rtl/>
          <w:lang w:eastAsia="ar-SA" w:bidi="ar-AE"/>
        </w:rPr>
        <w:t xml:space="preserve"> </w:t>
      </w:r>
      <w:r>
        <w:rPr>
          <w:rFonts w:ascii="Times New Roman" w:eastAsia="Times New Roman" w:hAnsi="Times New Roman" w:cs="Times New Roman" w:hint="cs"/>
          <w:sz w:val="28"/>
          <w:szCs w:val="28"/>
          <w:rtl/>
          <w:lang w:eastAsia="ar-SA" w:bidi="ar-AE"/>
        </w:rPr>
        <w:t>أحقيتها</w:t>
      </w:r>
      <w:r w:rsidRPr="009D74D4">
        <w:rPr>
          <w:rFonts w:ascii="Times New Roman" w:eastAsia="Times New Roman" w:hAnsi="Times New Roman" w:cs="Times New Roman"/>
          <w:sz w:val="28"/>
          <w:szCs w:val="28"/>
          <w:rtl/>
          <w:lang w:eastAsia="ar-SA" w:bidi="ar-AE"/>
        </w:rPr>
        <w:t xml:space="preserve"> بتقاضي بدل السكن </w:t>
      </w:r>
      <w:r>
        <w:rPr>
          <w:rFonts w:ascii="Times New Roman" w:eastAsia="Times New Roman" w:hAnsi="Times New Roman" w:cs="Times New Roman" w:hint="cs"/>
          <w:sz w:val="28"/>
          <w:szCs w:val="28"/>
          <w:rtl/>
          <w:lang w:eastAsia="ar-SA" w:bidi="ar-AE"/>
        </w:rPr>
        <w:t xml:space="preserve">. </w:t>
      </w:r>
      <w:r w:rsidR="00D61CEA">
        <w:rPr>
          <w:rFonts w:ascii="Times New Roman" w:eastAsia="Times New Roman" w:hAnsi="Times New Roman" w:cs="Times New Roman" w:hint="cs"/>
          <w:sz w:val="28"/>
          <w:szCs w:val="28"/>
          <w:rtl/>
          <w:lang w:eastAsia="ar-SA" w:bidi="ar-AE"/>
        </w:rPr>
        <w:t>التزام</w:t>
      </w:r>
      <w:r>
        <w:rPr>
          <w:rFonts w:ascii="Times New Roman" w:eastAsia="Times New Roman" w:hAnsi="Times New Roman" w:cs="Times New Roman" w:hint="cs"/>
          <w:sz w:val="28"/>
          <w:szCs w:val="28"/>
          <w:rtl/>
          <w:lang w:eastAsia="ar-SA" w:bidi="ar-AE"/>
        </w:rPr>
        <w:t xml:space="preserve"> الحكم المستأنف </w:t>
      </w:r>
      <w:r w:rsidR="00D61CEA">
        <w:rPr>
          <w:rFonts w:ascii="Times New Roman" w:eastAsia="Times New Roman" w:hAnsi="Times New Roman" w:cs="Times New Roman" w:hint="cs"/>
          <w:sz w:val="28"/>
          <w:szCs w:val="28"/>
          <w:rtl/>
          <w:lang w:eastAsia="ar-SA" w:bidi="ar-AE"/>
        </w:rPr>
        <w:t>هذا النظر . تطبيق</w:t>
      </w:r>
      <w:r w:rsidRPr="009D74D4">
        <w:rPr>
          <w:rFonts w:ascii="Times New Roman" w:eastAsia="Times New Roman" w:hAnsi="Times New Roman" w:cs="Times New Roman"/>
          <w:sz w:val="28"/>
          <w:szCs w:val="28"/>
          <w:rtl/>
          <w:lang w:eastAsia="ar-SA" w:bidi="ar-AE"/>
        </w:rPr>
        <w:t xml:space="preserve"> صحيح </w:t>
      </w:r>
      <w:r w:rsidR="00D61CEA">
        <w:rPr>
          <w:rFonts w:ascii="Times New Roman" w:eastAsia="Times New Roman" w:hAnsi="Times New Roman" w:cs="Times New Roman" w:hint="cs"/>
          <w:sz w:val="28"/>
          <w:szCs w:val="28"/>
          <w:rtl/>
          <w:lang w:eastAsia="ar-SA" w:bidi="ar-AE"/>
        </w:rPr>
        <w:t>للقانون . مقتضاه . تأييده.</w:t>
      </w:r>
    </w:p>
    <w:p w14:paraId="7D48FAD0" w14:textId="07F7CDC3" w:rsidR="006C60B7" w:rsidRPr="00AB284D" w:rsidRDefault="006C60B7" w:rsidP="006C60B7">
      <w:pPr>
        <w:spacing w:after="0" w:line="360" w:lineRule="auto"/>
        <w:jc w:val="center"/>
        <w:rPr>
          <w:rFonts w:ascii="Times New Roman" w:eastAsia="Times New Roman" w:hAnsi="Times New Roman" w:cs="Times New Roman"/>
          <w:b/>
          <w:bCs/>
          <w:noProof/>
          <w:sz w:val="44"/>
          <w:szCs w:val="28"/>
          <w:rtl/>
        </w:rPr>
      </w:pPr>
      <w:r w:rsidRPr="00AB284D">
        <w:rPr>
          <w:rFonts w:ascii="Times New Roman" w:eastAsia="Times New Roman" w:hAnsi="Times New Roman" w:cs="Times New Roman"/>
          <w:b/>
          <w:bCs/>
          <w:noProof/>
          <w:sz w:val="44"/>
          <w:szCs w:val="28"/>
          <w:rtl/>
        </w:rPr>
        <w:t xml:space="preserve">(الطعن رقم </w:t>
      </w:r>
      <w:r w:rsidR="00237A75">
        <w:rPr>
          <w:rFonts w:ascii="Times New Roman" w:eastAsia="Times New Roman" w:hAnsi="Times New Roman" w:cs="Times New Roman" w:hint="cs"/>
          <w:b/>
          <w:bCs/>
          <w:noProof/>
          <w:sz w:val="44"/>
          <w:szCs w:val="28"/>
          <w:rtl/>
        </w:rPr>
        <w:t>238</w:t>
      </w:r>
      <w:r w:rsidRPr="00AB284D">
        <w:rPr>
          <w:rFonts w:ascii="Times New Roman" w:eastAsia="Times New Roman" w:hAnsi="Times New Roman" w:cs="Times New Roman"/>
          <w:b/>
          <w:bCs/>
          <w:noProof/>
          <w:sz w:val="44"/>
          <w:szCs w:val="28"/>
          <w:rtl/>
        </w:rPr>
        <w:t xml:space="preserve"> لسنة </w:t>
      </w:r>
      <w:r w:rsidR="00F964CD">
        <w:rPr>
          <w:rFonts w:ascii="Times New Roman" w:eastAsia="Times New Roman" w:hAnsi="Times New Roman" w:cs="Times New Roman" w:hint="cs"/>
          <w:b/>
          <w:bCs/>
          <w:noProof/>
          <w:sz w:val="44"/>
          <w:szCs w:val="28"/>
          <w:rtl/>
        </w:rPr>
        <w:t>2026</w:t>
      </w:r>
      <w:r w:rsidRPr="00AB284D">
        <w:rPr>
          <w:rFonts w:ascii="Times New Roman" w:eastAsia="Times New Roman" w:hAnsi="Times New Roman" w:cs="Times New Roman"/>
          <w:b/>
          <w:bCs/>
          <w:noProof/>
          <w:sz w:val="44"/>
          <w:szCs w:val="28"/>
          <w:rtl/>
        </w:rPr>
        <w:t xml:space="preserve"> إداري، جلسة </w:t>
      </w:r>
      <w:r w:rsidR="00237A75">
        <w:rPr>
          <w:rFonts w:ascii="Times New Roman" w:eastAsia="Times New Roman" w:hAnsi="Times New Roman" w:cs="Times New Roman" w:hint="cs"/>
          <w:b/>
          <w:bCs/>
          <w:noProof/>
          <w:sz w:val="44"/>
          <w:szCs w:val="28"/>
          <w:rtl/>
        </w:rPr>
        <w:t>19</w:t>
      </w:r>
      <w:r w:rsidRPr="00AB284D">
        <w:rPr>
          <w:rFonts w:ascii="Times New Roman" w:eastAsia="Times New Roman" w:hAnsi="Times New Roman" w:cs="Times New Roman"/>
          <w:b/>
          <w:bCs/>
          <w:noProof/>
          <w:sz w:val="44"/>
          <w:szCs w:val="28"/>
          <w:rtl/>
        </w:rPr>
        <w:t>/</w:t>
      </w:r>
      <w:r w:rsidR="00F647B0">
        <w:rPr>
          <w:rFonts w:ascii="Times New Roman" w:eastAsia="Times New Roman" w:hAnsi="Times New Roman" w:cs="Times New Roman" w:hint="cs"/>
          <w:b/>
          <w:bCs/>
          <w:noProof/>
          <w:sz w:val="44"/>
          <w:szCs w:val="28"/>
          <w:rtl/>
        </w:rPr>
        <w:t>8</w:t>
      </w:r>
      <w:r w:rsidRPr="00AB284D">
        <w:rPr>
          <w:rFonts w:ascii="Times New Roman" w:eastAsia="Times New Roman" w:hAnsi="Times New Roman" w:cs="Times New Roman"/>
          <w:b/>
          <w:bCs/>
          <w:noProof/>
          <w:sz w:val="44"/>
          <w:szCs w:val="28"/>
          <w:rtl/>
        </w:rPr>
        <w:t>/</w:t>
      </w:r>
      <w:r>
        <w:rPr>
          <w:rFonts w:ascii="Times New Roman" w:eastAsia="Times New Roman" w:hAnsi="Times New Roman" w:cs="Times New Roman" w:hint="cs"/>
          <w:b/>
          <w:bCs/>
          <w:noProof/>
          <w:sz w:val="44"/>
          <w:szCs w:val="28"/>
          <w:rtl/>
        </w:rPr>
        <w:t>2026</w:t>
      </w:r>
      <w:r w:rsidRPr="00AB284D">
        <w:rPr>
          <w:rFonts w:ascii="Times New Roman" w:eastAsia="Times New Roman" w:hAnsi="Times New Roman" w:cs="Times New Roman"/>
          <w:b/>
          <w:bCs/>
          <w:noProof/>
          <w:sz w:val="44"/>
          <w:szCs w:val="28"/>
          <w:rtl/>
        </w:rPr>
        <w:t>)</w:t>
      </w:r>
    </w:p>
    <w:p w14:paraId="73CAF25F" w14:textId="77777777" w:rsidR="006C60B7" w:rsidRPr="00AB284D" w:rsidRDefault="006C60B7" w:rsidP="006C60B7">
      <w:pPr>
        <w:tabs>
          <w:tab w:val="left" w:pos="33"/>
        </w:tabs>
        <w:spacing w:after="0" w:line="360" w:lineRule="auto"/>
        <w:jc w:val="center"/>
        <w:rPr>
          <w:rFonts w:ascii="Times New Roman" w:eastAsia="Times New Roman" w:hAnsi="Times New Roman" w:cs="Times New Roman"/>
          <w:b/>
          <w:bCs/>
          <w:noProof/>
          <w:sz w:val="48"/>
          <w:szCs w:val="32"/>
          <w:rtl/>
        </w:rPr>
      </w:pPr>
      <w:r w:rsidRPr="00AB284D">
        <w:rPr>
          <w:rFonts w:ascii="Times New Roman" w:eastAsia="Times New Roman" w:hAnsi="Times New Roman" w:cs="Times New Roman"/>
          <w:b/>
          <w:bCs/>
          <w:noProof/>
          <w:sz w:val="48"/>
          <w:szCs w:val="32"/>
          <w:rtl/>
        </w:rPr>
        <w:t>ـــــــــــــــــــــــــــــــــــ</w:t>
      </w:r>
    </w:p>
    <w:p w14:paraId="00D43AD7" w14:textId="7C6A63B4" w:rsidR="004F225F" w:rsidRPr="004F225F" w:rsidRDefault="004F225F" w:rsidP="00D56DD3">
      <w:pPr>
        <w:spacing w:after="0" w:line="360" w:lineRule="auto"/>
        <w:ind w:left="90" w:firstLine="540"/>
        <w:jc w:val="both"/>
        <w:rPr>
          <w:rFonts w:ascii="Times New Roman" w:eastAsia="Times New Roman" w:hAnsi="Times New Roman" w:cs="Times New Roman"/>
          <w:b/>
          <w:bCs/>
          <w:sz w:val="28"/>
          <w:szCs w:val="28"/>
          <w:rtl/>
          <w:lang w:eastAsia="ar-SA" w:bidi="ar-AE"/>
        </w:rPr>
      </w:pPr>
      <w:r w:rsidRPr="004F225F">
        <w:rPr>
          <w:rFonts w:ascii="Times New Roman" w:eastAsia="Times New Roman" w:hAnsi="Times New Roman" w:cs="Times New Roman" w:hint="cs"/>
          <w:b/>
          <w:bCs/>
          <w:sz w:val="28"/>
          <w:szCs w:val="28"/>
          <w:rtl/>
          <w:lang w:eastAsia="ar-SA" w:bidi="ar-AE"/>
        </w:rPr>
        <w:t xml:space="preserve"> </w:t>
      </w:r>
      <w:r>
        <w:rPr>
          <w:rFonts w:ascii="Times New Roman" w:hAnsi="Times New Roman" w:cs="Times New Roman" w:hint="cs"/>
          <w:b/>
          <w:bCs/>
          <w:sz w:val="28"/>
          <w:szCs w:val="28"/>
          <w:rtl/>
        </w:rPr>
        <w:t>1-</w:t>
      </w:r>
      <w:r w:rsidRPr="00F96BB1">
        <w:rPr>
          <w:rFonts w:ascii="Times New Roman" w:hAnsi="Times New Roman" w:cs="Times New Roman"/>
          <w:b/>
          <w:bCs/>
          <w:sz w:val="28"/>
          <w:szCs w:val="28"/>
          <w:rtl/>
        </w:rPr>
        <w:t xml:space="preserve"> </w:t>
      </w:r>
      <w:r w:rsidRPr="00F96BB1">
        <w:rPr>
          <w:rFonts w:ascii="Times New Roman" w:hAnsi="Times New Roman" w:cs="Times New Roman" w:hint="eastAsia"/>
          <w:b/>
          <w:bCs/>
          <w:sz w:val="28"/>
          <w:szCs w:val="28"/>
          <w:rtl/>
        </w:rPr>
        <w:t>المقرر</w:t>
      </w:r>
      <w:r w:rsidRPr="00F96BB1">
        <w:rPr>
          <w:rFonts w:ascii="Times New Roman" w:hAnsi="Times New Roman" w:cs="Times New Roman" w:hint="cs"/>
          <w:b/>
          <w:bCs/>
          <w:sz w:val="28"/>
          <w:szCs w:val="28"/>
          <w:rtl/>
        </w:rPr>
        <w:t xml:space="preserve"> - </w:t>
      </w:r>
      <w:r w:rsidRPr="00F96BB1">
        <w:rPr>
          <w:rFonts w:ascii="Times New Roman" w:hAnsi="Times New Roman" w:cs="Times New Roman" w:hint="eastAsia"/>
          <w:b/>
          <w:bCs/>
          <w:sz w:val="28"/>
          <w:szCs w:val="28"/>
          <w:rtl/>
        </w:rPr>
        <w:t>في</w:t>
      </w:r>
      <w:r w:rsidRPr="00F96BB1">
        <w:rPr>
          <w:rFonts w:ascii="Times New Roman" w:hAnsi="Times New Roman" w:cs="Times New Roman"/>
          <w:b/>
          <w:bCs/>
          <w:sz w:val="28"/>
          <w:szCs w:val="28"/>
          <w:rtl/>
        </w:rPr>
        <w:t xml:space="preserve"> </w:t>
      </w:r>
      <w:r w:rsidRPr="00F96BB1">
        <w:rPr>
          <w:rFonts w:ascii="Times New Roman" w:hAnsi="Times New Roman" w:cs="Times New Roman" w:hint="eastAsia"/>
          <w:b/>
          <w:bCs/>
          <w:sz w:val="28"/>
          <w:szCs w:val="28"/>
          <w:rtl/>
        </w:rPr>
        <w:t>قضاء</w:t>
      </w:r>
      <w:r w:rsidRPr="00F96BB1">
        <w:rPr>
          <w:rFonts w:ascii="Times New Roman" w:hAnsi="Times New Roman" w:cs="Times New Roman"/>
          <w:b/>
          <w:bCs/>
          <w:sz w:val="28"/>
          <w:szCs w:val="28"/>
          <w:rtl/>
        </w:rPr>
        <w:t xml:space="preserve"> </w:t>
      </w:r>
      <w:r w:rsidRPr="00F96BB1">
        <w:rPr>
          <w:rFonts w:ascii="Times New Roman" w:hAnsi="Times New Roman" w:cs="Times New Roman" w:hint="cs"/>
          <w:b/>
          <w:bCs/>
          <w:sz w:val="28"/>
          <w:szCs w:val="28"/>
          <w:rtl/>
        </w:rPr>
        <w:t>ال</w:t>
      </w:r>
      <w:r w:rsidRPr="00F96BB1">
        <w:rPr>
          <w:rFonts w:ascii="Times New Roman" w:hAnsi="Times New Roman" w:cs="Times New Roman" w:hint="eastAsia"/>
          <w:b/>
          <w:bCs/>
          <w:sz w:val="28"/>
          <w:szCs w:val="28"/>
          <w:rtl/>
        </w:rPr>
        <w:t>محكمة</w:t>
      </w:r>
      <w:r w:rsidRPr="00F96BB1">
        <w:rPr>
          <w:rFonts w:ascii="Times New Roman" w:hAnsi="Times New Roman" w:cs="Times New Roman" w:hint="cs"/>
          <w:b/>
          <w:bCs/>
          <w:sz w:val="28"/>
          <w:szCs w:val="28"/>
          <w:rtl/>
        </w:rPr>
        <w:t xml:space="preserve"> الاتحادية العليا </w:t>
      </w:r>
      <w:r w:rsidRPr="00F96BB1">
        <w:rPr>
          <w:rFonts w:ascii="Times New Roman" w:hAnsi="Times New Roman" w:cs="Times New Roman" w:hint="eastAsia"/>
          <w:b/>
          <w:bCs/>
          <w:sz w:val="28"/>
          <w:szCs w:val="28"/>
          <w:rtl/>
        </w:rPr>
        <w:t>–</w:t>
      </w:r>
      <w:r w:rsidRPr="00F96BB1">
        <w:rPr>
          <w:rFonts w:ascii="Times New Roman" w:hAnsi="Times New Roman" w:cs="Times New Roman"/>
          <w:b/>
          <w:bCs/>
          <w:sz w:val="28"/>
          <w:szCs w:val="28"/>
          <w:rtl/>
        </w:rPr>
        <w:t xml:space="preserve"> </w:t>
      </w:r>
      <w:r w:rsidRPr="004F225F">
        <w:rPr>
          <w:rFonts w:ascii="Times New Roman" w:eastAsia="Times New Roman" w:hAnsi="Times New Roman" w:cs="Times New Roman"/>
          <w:b/>
          <w:bCs/>
          <w:sz w:val="28"/>
          <w:szCs w:val="28"/>
          <w:rtl/>
          <w:lang w:eastAsia="ar-SA" w:bidi="ar-AE"/>
        </w:rPr>
        <w:t xml:space="preserve">وظيفتها لا تقتصر على مراقبة الحكم المستأنف من حيث سلامة التطبيق القانوني فحسب، وإنما يترتب على رفع الاستئناف نقل موضوع الدعوى إليها لتفصل فيه من جديد في حدود طلبات المستأنف وإعادة طرحه عليها بكل ما اشتمل عليه من أدلة ودفوع وأوجه دفاع لتواجه عناصر النزاع الواقعية والقانونية، وتعمل على تطبيق القاعدة القانونية التي تراها </w:t>
      </w:r>
      <w:r w:rsidRPr="004F225F">
        <w:rPr>
          <w:rFonts w:ascii="Times New Roman" w:eastAsia="Times New Roman" w:hAnsi="Times New Roman" w:cs="Times New Roman"/>
          <w:b/>
          <w:bCs/>
          <w:sz w:val="28"/>
          <w:szCs w:val="28"/>
          <w:rtl/>
          <w:lang w:eastAsia="ar-SA" w:bidi="ar-AE"/>
        </w:rPr>
        <w:lastRenderedPageBreak/>
        <w:t xml:space="preserve">صحيحة على وقائع الدعوى وتتدارك ما يرد في الحكم المستأنف من أخطاء </w:t>
      </w:r>
      <w:bookmarkStart w:id="6" w:name="_Hlk241088000"/>
      <w:r w:rsidRPr="004F225F">
        <w:rPr>
          <w:rFonts w:ascii="Times New Roman" w:eastAsia="Times New Roman" w:hAnsi="Times New Roman" w:cs="Times New Roman"/>
          <w:b/>
          <w:bCs/>
          <w:sz w:val="28"/>
          <w:szCs w:val="28"/>
          <w:rtl/>
          <w:lang w:eastAsia="ar-SA" w:bidi="ar-AE"/>
        </w:rPr>
        <w:t xml:space="preserve">وفي حدود ما رفع عنه الاستئناف. </w:t>
      </w:r>
    </w:p>
    <w:bookmarkEnd w:id="6"/>
    <w:p w14:paraId="232C4D57" w14:textId="77777777" w:rsidR="004F225F" w:rsidRDefault="004F225F" w:rsidP="00D56DD3">
      <w:pPr>
        <w:spacing w:after="0" w:line="360" w:lineRule="auto"/>
        <w:ind w:left="90" w:firstLine="540"/>
        <w:jc w:val="both"/>
        <w:rPr>
          <w:rFonts w:ascii="Times New Roman" w:eastAsia="Times New Roman" w:hAnsi="Times New Roman" w:cs="Times New Roman"/>
          <w:b/>
          <w:bCs/>
          <w:sz w:val="28"/>
          <w:szCs w:val="28"/>
          <w:rtl/>
          <w:lang w:eastAsia="ar-SA" w:bidi="ar-AE"/>
        </w:rPr>
      </w:pPr>
      <w:r>
        <w:rPr>
          <w:rFonts w:ascii="Times New Roman" w:hAnsi="Times New Roman" w:cs="Times New Roman" w:hint="cs"/>
          <w:b/>
          <w:bCs/>
          <w:sz w:val="28"/>
          <w:szCs w:val="28"/>
          <w:rtl/>
        </w:rPr>
        <w:t>2-</w:t>
      </w:r>
      <w:r w:rsidRPr="00F96BB1">
        <w:rPr>
          <w:rFonts w:ascii="Times New Roman" w:hAnsi="Times New Roman" w:cs="Times New Roman"/>
          <w:b/>
          <w:bCs/>
          <w:sz w:val="28"/>
          <w:szCs w:val="28"/>
          <w:rtl/>
        </w:rPr>
        <w:t xml:space="preserve"> </w:t>
      </w:r>
      <w:r w:rsidRPr="00F96BB1">
        <w:rPr>
          <w:rFonts w:ascii="Times New Roman" w:hAnsi="Times New Roman" w:cs="Times New Roman" w:hint="eastAsia"/>
          <w:b/>
          <w:bCs/>
          <w:sz w:val="28"/>
          <w:szCs w:val="28"/>
          <w:rtl/>
        </w:rPr>
        <w:t>المقرر</w:t>
      </w:r>
      <w:r w:rsidRPr="00F96BB1">
        <w:rPr>
          <w:rFonts w:ascii="Times New Roman" w:hAnsi="Times New Roman" w:cs="Times New Roman" w:hint="cs"/>
          <w:b/>
          <w:bCs/>
          <w:sz w:val="28"/>
          <w:szCs w:val="28"/>
          <w:rtl/>
        </w:rPr>
        <w:t xml:space="preserve"> - </w:t>
      </w:r>
      <w:r w:rsidRPr="00F96BB1">
        <w:rPr>
          <w:rFonts w:ascii="Times New Roman" w:hAnsi="Times New Roman" w:cs="Times New Roman" w:hint="eastAsia"/>
          <w:b/>
          <w:bCs/>
          <w:sz w:val="28"/>
          <w:szCs w:val="28"/>
          <w:rtl/>
        </w:rPr>
        <w:t>في</w:t>
      </w:r>
      <w:r w:rsidRPr="00F96BB1">
        <w:rPr>
          <w:rFonts w:ascii="Times New Roman" w:hAnsi="Times New Roman" w:cs="Times New Roman"/>
          <w:b/>
          <w:bCs/>
          <w:sz w:val="28"/>
          <w:szCs w:val="28"/>
          <w:rtl/>
        </w:rPr>
        <w:t xml:space="preserve"> </w:t>
      </w:r>
      <w:r w:rsidRPr="00F96BB1">
        <w:rPr>
          <w:rFonts w:ascii="Times New Roman" w:hAnsi="Times New Roman" w:cs="Times New Roman" w:hint="eastAsia"/>
          <w:b/>
          <w:bCs/>
          <w:sz w:val="28"/>
          <w:szCs w:val="28"/>
          <w:rtl/>
        </w:rPr>
        <w:t>قضاء</w:t>
      </w:r>
      <w:r w:rsidRPr="00F96BB1">
        <w:rPr>
          <w:rFonts w:ascii="Times New Roman" w:hAnsi="Times New Roman" w:cs="Times New Roman"/>
          <w:b/>
          <w:bCs/>
          <w:sz w:val="28"/>
          <w:szCs w:val="28"/>
          <w:rtl/>
        </w:rPr>
        <w:t xml:space="preserve"> </w:t>
      </w:r>
      <w:r w:rsidRPr="00F96BB1">
        <w:rPr>
          <w:rFonts w:ascii="Times New Roman" w:hAnsi="Times New Roman" w:cs="Times New Roman" w:hint="cs"/>
          <w:b/>
          <w:bCs/>
          <w:sz w:val="28"/>
          <w:szCs w:val="28"/>
          <w:rtl/>
        </w:rPr>
        <w:t>ال</w:t>
      </w:r>
      <w:r w:rsidRPr="00F96BB1">
        <w:rPr>
          <w:rFonts w:ascii="Times New Roman" w:hAnsi="Times New Roman" w:cs="Times New Roman" w:hint="eastAsia"/>
          <w:b/>
          <w:bCs/>
          <w:sz w:val="28"/>
          <w:szCs w:val="28"/>
          <w:rtl/>
        </w:rPr>
        <w:t>محكمة</w:t>
      </w:r>
      <w:r w:rsidRPr="00F96BB1">
        <w:rPr>
          <w:rFonts w:ascii="Times New Roman" w:hAnsi="Times New Roman" w:cs="Times New Roman" w:hint="cs"/>
          <w:b/>
          <w:bCs/>
          <w:sz w:val="28"/>
          <w:szCs w:val="28"/>
          <w:rtl/>
        </w:rPr>
        <w:t xml:space="preserve"> الاتحادية العليا </w:t>
      </w:r>
      <w:r w:rsidRPr="00F96BB1">
        <w:rPr>
          <w:rFonts w:ascii="Times New Roman" w:hAnsi="Times New Roman" w:cs="Times New Roman" w:hint="eastAsia"/>
          <w:b/>
          <w:bCs/>
          <w:sz w:val="28"/>
          <w:szCs w:val="28"/>
          <w:rtl/>
        </w:rPr>
        <w:t>–</w:t>
      </w:r>
      <w:r w:rsidRPr="004F225F">
        <w:rPr>
          <w:rFonts w:ascii="Times New Roman" w:eastAsia="Times New Roman" w:hAnsi="Times New Roman" w:cs="Times New Roman"/>
          <w:b/>
          <w:bCs/>
          <w:sz w:val="28"/>
          <w:szCs w:val="28"/>
          <w:rtl/>
          <w:lang w:eastAsia="ar-SA" w:bidi="ar-AE"/>
        </w:rPr>
        <w:t>أن تحصيل فهم الواقع في الدعوى، وتقدير الأدلة فيها بما فيها تقارير الخبراء باعتبارها عنصراً من عناصر الإثبات، والموازنة والترجيح بينها، وتفسير العقود والاتفاقات وسائر المحررات بما هو أوفى بمقصود عاقديها، وتحري صفة الخصوم في الدعوى، وتحديد الطرف المخل بالتزامه العقدي، تعود لسلطة محكمة الموضوع متى أقامت قضاءها على أسباب سائغة لها أصلها الثابت بالأوراق وكافية لحمله</w:t>
      </w:r>
      <w:r>
        <w:rPr>
          <w:rFonts w:ascii="Times New Roman" w:eastAsia="Times New Roman" w:hAnsi="Times New Roman" w:cs="Times New Roman" w:hint="cs"/>
          <w:b/>
          <w:bCs/>
          <w:sz w:val="28"/>
          <w:szCs w:val="28"/>
          <w:rtl/>
          <w:lang w:eastAsia="ar-SA" w:bidi="ar-AE"/>
        </w:rPr>
        <w:t>.</w:t>
      </w:r>
    </w:p>
    <w:p w14:paraId="68E20B4A" w14:textId="33CECD14" w:rsidR="004F225F" w:rsidRPr="004F225F" w:rsidRDefault="004F225F" w:rsidP="00D56DD3">
      <w:pPr>
        <w:spacing w:after="0" w:line="360" w:lineRule="auto"/>
        <w:ind w:left="90" w:firstLine="540"/>
        <w:jc w:val="both"/>
        <w:rPr>
          <w:rFonts w:ascii="Times New Roman" w:eastAsia="Times New Roman" w:hAnsi="Times New Roman" w:cs="Times New Roman"/>
          <w:b/>
          <w:bCs/>
          <w:sz w:val="28"/>
          <w:szCs w:val="28"/>
          <w:rtl/>
          <w:lang w:eastAsia="ar-SA" w:bidi="ar-AE"/>
        </w:rPr>
      </w:pPr>
      <w:r>
        <w:rPr>
          <w:rFonts w:ascii="Times New Roman" w:hAnsi="Times New Roman" w:cs="Times New Roman" w:hint="cs"/>
          <w:b/>
          <w:bCs/>
          <w:sz w:val="28"/>
          <w:szCs w:val="28"/>
          <w:rtl/>
        </w:rPr>
        <w:t>3-</w:t>
      </w:r>
      <w:r w:rsidRPr="00F96BB1">
        <w:rPr>
          <w:rFonts w:ascii="Times New Roman" w:hAnsi="Times New Roman" w:cs="Times New Roman"/>
          <w:b/>
          <w:bCs/>
          <w:sz w:val="28"/>
          <w:szCs w:val="28"/>
          <w:rtl/>
        </w:rPr>
        <w:t xml:space="preserve"> </w:t>
      </w:r>
      <w:r w:rsidRPr="00F96BB1">
        <w:rPr>
          <w:rFonts w:ascii="Times New Roman" w:hAnsi="Times New Roman" w:cs="Times New Roman" w:hint="eastAsia"/>
          <w:b/>
          <w:bCs/>
          <w:sz w:val="28"/>
          <w:szCs w:val="28"/>
          <w:rtl/>
        </w:rPr>
        <w:t>المقرر</w:t>
      </w:r>
      <w:r w:rsidRPr="00F96BB1">
        <w:rPr>
          <w:rFonts w:ascii="Times New Roman" w:hAnsi="Times New Roman" w:cs="Times New Roman" w:hint="cs"/>
          <w:b/>
          <w:bCs/>
          <w:sz w:val="28"/>
          <w:szCs w:val="28"/>
          <w:rtl/>
        </w:rPr>
        <w:t xml:space="preserve"> - </w:t>
      </w:r>
      <w:r w:rsidRPr="00F96BB1">
        <w:rPr>
          <w:rFonts w:ascii="Times New Roman" w:hAnsi="Times New Roman" w:cs="Times New Roman" w:hint="eastAsia"/>
          <w:b/>
          <w:bCs/>
          <w:sz w:val="28"/>
          <w:szCs w:val="28"/>
          <w:rtl/>
        </w:rPr>
        <w:t>في</w:t>
      </w:r>
      <w:r w:rsidRPr="00F96BB1">
        <w:rPr>
          <w:rFonts w:ascii="Times New Roman" w:hAnsi="Times New Roman" w:cs="Times New Roman"/>
          <w:b/>
          <w:bCs/>
          <w:sz w:val="28"/>
          <w:szCs w:val="28"/>
          <w:rtl/>
        </w:rPr>
        <w:t xml:space="preserve"> </w:t>
      </w:r>
      <w:r w:rsidRPr="00F96BB1">
        <w:rPr>
          <w:rFonts w:ascii="Times New Roman" w:hAnsi="Times New Roman" w:cs="Times New Roman" w:hint="eastAsia"/>
          <w:b/>
          <w:bCs/>
          <w:sz w:val="28"/>
          <w:szCs w:val="28"/>
          <w:rtl/>
        </w:rPr>
        <w:t>قضاء</w:t>
      </w:r>
      <w:r w:rsidRPr="00F96BB1">
        <w:rPr>
          <w:rFonts w:ascii="Times New Roman" w:hAnsi="Times New Roman" w:cs="Times New Roman"/>
          <w:b/>
          <w:bCs/>
          <w:sz w:val="28"/>
          <w:szCs w:val="28"/>
          <w:rtl/>
        </w:rPr>
        <w:t xml:space="preserve"> </w:t>
      </w:r>
      <w:r w:rsidRPr="00F96BB1">
        <w:rPr>
          <w:rFonts w:ascii="Times New Roman" w:hAnsi="Times New Roman" w:cs="Times New Roman" w:hint="cs"/>
          <w:b/>
          <w:bCs/>
          <w:sz w:val="28"/>
          <w:szCs w:val="28"/>
          <w:rtl/>
        </w:rPr>
        <w:t>ال</w:t>
      </w:r>
      <w:r w:rsidRPr="00F96BB1">
        <w:rPr>
          <w:rFonts w:ascii="Times New Roman" w:hAnsi="Times New Roman" w:cs="Times New Roman" w:hint="eastAsia"/>
          <w:b/>
          <w:bCs/>
          <w:sz w:val="28"/>
          <w:szCs w:val="28"/>
          <w:rtl/>
        </w:rPr>
        <w:t>محكمة</w:t>
      </w:r>
      <w:r w:rsidRPr="00F96BB1">
        <w:rPr>
          <w:rFonts w:ascii="Times New Roman" w:hAnsi="Times New Roman" w:cs="Times New Roman" w:hint="cs"/>
          <w:b/>
          <w:bCs/>
          <w:sz w:val="28"/>
          <w:szCs w:val="28"/>
          <w:rtl/>
        </w:rPr>
        <w:t xml:space="preserve"> الاتحادية العليا </w:t>
      </w:r>
      <w:r w:rsidRPr="00F96BB1">
        <w:rPr>
          <w:rFonts w:ascii="Times New Roman" w:hAnsi="Times New Roman" w:cs="Times New Roman" w:hint="eastAsia"/>
          <w:b/>
          <w:bCs/>
          <w:sz w:val="28"/>
          <w:szCs w:val="28"/>
          <w:rtl/>
        </w:rPr>
        <w:t>–</w:t>
      </w:r>
      <w:r w:rsidRPr="00F96BB1">
        <w:rPr>
          <w:rFonts w:ascii="Times New Roman" w:hAnsi="Times New Roman" w:cs="Times New Roman"/>
          <w:b/>
          <w:bCs/>
          <w:sz w:val="28"/>
          <w:szCs w:val="28"/>
          <w:rtl/>
        </w:rPr>
        <w:t xml:space="preserve"> </w:t>
      </w:r>
      <w:r>
        <w:rPr>
          <w:rFonts w:ascii="Times New Roman" w:hAnsi="Times New Roman" w:cs="Times New Roman" w:hint="cs"/>
          <w:b/>
          <w:bCs/>
          <w:sz w:val="28"/>
          <w:szCs w:val="28"/>
          <w:rtl/>
        </w:rPr>
        <w:t>(</w:t>
      </w:r>
      <w:r w:rsidRPr="004F225F">
        <w:rPr>
          <w:rFonts w:ascii="Times New Roman" w:eastAsia="Times New Roman" w:hAnsi="Times New Roman" w:cs="Times New Roman"/>
          <w:b/>
          <w:bCs/>
          <w:sz w:val="28"/>
          <w:szCs w:val="28"/>
          <w:rtl/>
          <w:lang w:eastAsia="ar-SA" w:bidi="ar-AE"/>
        </w:rPr>
        <w:t xml:space="preserve"> </w:t>
      </w:r>
      <w:r>
        <w:rPr>
          <w:rFonts w:ascii="Times New Roman" w:eastAsia="Times New Roman" w:hAnsi="Times New Roman" w:cs="Times New Roman" w:hint="cs"/>
          <w:b/>
          <w:bCs/>
          <w:sz w:val="28"/>
          <w:szCs w:val="28"/>
          <w:rtl/>
          <w:lang w:eastAsia="ar-SA" w:bidi="ar-AE"/>
        </w:rPr>
        <w:t>أن لمحكمة الموضوع )</w:t>
      </w:r>
      <w:r w:rsidRPr="004F225F">
        <w:rPr>
          <w:rFonts w:ascii="Times New Roman" w:eastAsia="Times New Roman" w:hAnsi="Times New Roman" w:cs="Times New Roman"/>
          <w:b/>
          <w:bCs/>
          <w:sz w:val="28"/>
          <w:szCs w:val="28"/>
          <w:rtl/>
          <w:lang w:eastAsia="ar-SA" w:bidi="ar-AE"/>
        </w:rPr>
        <w:t>الأخذ بتقرير الخبير متى اقتنعت بكفاية الأبحاث التي أجراها وسلامة الأسس التي بني عليها، ويخضع عمله لتقدير المحكمة التي يحق لها الاكتفاء بما أجراه ما دامت قد اطمأنت إليه وإلى صحة أسبابه على نحو يكفي لتكوين عقيدتها للفصل في الدعوى، فإن رأت الأخذ بتقريره كله أو بعضه في حدود سلطتها التقديرية، فلا تثريب عليها في ذلك دون أن تكون ملزمة بالرد استقلالاً على ما يثيره الخصوم من مطاعن على هذا التقرير، إذ إن في أخذها به محمولا على أسبابه ما يفيد أنها لم تجد في تلك المطاعن ما يستحق الرد عليه بأكثر مما ورد فيه، كما أن لها ألا تستجيب لطلب الخصوم إعادة المأمورية إلى ذات الخبير أو استبداله متى وجدت في أوراق الدعوى ما يكفي لتكوين عقيدتها في الدعوى.</w:t>
      </w:r>
    </w:p>
    <w:p w14:paraId="4BC12D9B" w14:textId="02A327F4" w:rsidR="006C60B7" w:rsidRDefault="00D56DD3" w:rsidP="00D56DD3">
      <w:pPr>
        <w:spacing w:after="0" w:line="360" w:lineRule="auto"/>
        <w:ind w:firstLine="540"/>
        <w:jc w:val="both"/>
        <w:rPr>
          <w:rFonts w:ascii="Times New Roman" w:eastAsia="Times New Roman" w:hAnsi="Times New Roman" w:cs="Times New Roman"/>
          <w:b/>
          <w:bCs/>
          <w:sz w:val="28"/>
          <w:szCs w:val="28"/>
          <w:rtl/>
          <w:lang w:eastAsia="ar-SA" w:bidi="ar-AE"/>
        </w:rPr>
      </w:pPr>
      <w:r>
        <w:rPr>
          <w:rFonts w:ascii="Times New Roman" w:hAnsi="Times New Roman" w:cs="Times New Roman" w:hint="cs"/>
          <w:b/>
          <w:bCs/>
          <w:sz w:val="28"/>
          <w:szCs w:val="28"/>
          <w:rtl/>
        </w:rPr>
        <w:t>4-</w:t>
      </w:r>
      <w:r w:rsidRPr="00F96BB1">
        <w:rPr>
          <w:rFonts w:ascii="Times New Roman" w:hAnsi="Times New Roman" w:cs="Times New Roman"/>
          <w:b/>
          <w:bCs/>
          <w:sz w:val="28"/>
          <w:szCs w:val="28"/>
          <w:rtl/>
        </w:rPr>
        <w:t xml:space="preserve"> </w:t>
      </w:r>
      <w:r>
        <w:rPr>
          <w:rFonts w:ascii="Times New Roman" w:hAnsi="Times New Roman" w:cs="Times New Roman" w:hint="cs"/>
          <w:b/>
          <w:bCs/>
          <w:sz w:val="28"/>
          <w:szCs w:val="28"/>
          <w:rtl/>
        </w:rPr>
        <w:t>إذ كانت</w:t>
      </w:r>
      <w:r w:rsidRPr="00F96BB1">
        <w:rPr>
          <w:rFonts w:ascii="Times New Roman" w:hAnsi="Times New Roman" w:cs="Times New Roman"/>
          <w:b/>
          <w:bCs/>
          <w:sz w:val="28"/>
          <w:szCs w:val="28"/>
          <w:rtl/>
        </w:rPr>
        <w:t xml:space="preserve"> </w:t>
      </w:r>
      <w:r w:rsidR="004F225F" w:rsidRPr="004F225F">
        <w:rPr>
          <w:rFonts w:ascii="Times New Roman" w:eastAsia="Times New Roman" w:hAnsi="Times New Roman" w:cs="Times New Roman"/>
          <w:b/>
          <w:bCs/>
          <w:sz w:val="28"/>
          <w:szCs w:val="28"/>
          <w:rtl/>
          <w:lang w:eastAsia="ar-SA" w:bidi="ar-AE"/>
        </w:rPr>
        <w:t xml:space="preserve">المحكمة تشير إلى أنها بعد اطلاعها على الحكم المستأنف ووقوفها على المستندات وسائر البينات المحتج بها وخاصة تقرير الخبير المنتدب أمامها وإحاطتها بواقع القضية ووقائعها ارتأت أن الخبرة قد حققت في جميع نقاط النزاع الحاصلة بين الخصوم ومحصت تفاصيلها وأبدت رأيها في الأمور الفنية، وهو ما جعلها تحظى باطمئنان المحكمة والأخذ بها في جل النتائج التي انتهت إليها، وكان الخبير قد انتهى إلى ما خلاصته أن </w:t>
      </w:r>
      <w:bookmarkStart w:id="7" w:name="_Hlk241089258"/>
      <w:r w:rsidR="004F225F" w:rsidRPr="004F225F">
        <w:rPr>
          <w:rFonts w:ascii="Times New Roman" w:eastAsia="Times New Roman" w:hAnsi="Times New Roman" w:cs="Times New Roman"/>
          <w:b/>
          <w:bCs/>
          <w:sz w:val="28"/>
          <w:szCs w:val="28"/>
          <w:rtl/>
          <w:lang w:eastAsia="ar-SA" w:bidi="ar-AE"/>
        </w:rPr>
        <w:t xml:space="preserve">زوج المطعون ضدها لا يتقاضى بدل السكن وأن بدل السكن لم يعد من ضمن مفردات الراتب، وأن المواطنين العاملين في حكومة </w:t>
      </w:r>
      <w:r w:rsidR="00A16D76">
        <w:rPr>
          <w:rFonts w:ascii="Times New Roman" w:eastAsia="Times New Roman" w:hAnsi="Times New Roman" w:cs="Times New Roman" w:hint="cs"/>
          <w:b/>
          <w:bCs/>
          <w:sz w:val="28"/>
          <w:szCs w:val="28"/>
          <w:rtl/>
          <w:lang w:eastAsia="ar-SA" w:bidi="ar-AE"/>
        </w:rPr>
        <w:t>.....</w:t>
      </w:r>
      <w:r w:rsidR="004F225F" w:rsidRPr="004F225F">
        <w:rPr>
          <w:rFonts w:ascii="Times New Roman" w:eastAsia="Times New Roman" w:hAnsi="Times New Roman" w:cs="Times New Roman"/>
          <w:b/>
          <w:bCs/>
          <w:sz w:val="28"/>
          <w:szCs w:val="28"/>
          <w:rtl/>
          <w:lang w:eastAsia="ar-SA" w:bidi="ar-AE"/>
        </w:rPr>
        <w:t xml:space="preserve"> لا يصرف لهم بدل سكن ضمن مفردات رواتبهم، ولما تقدم بما انتهى إليه الحكم المستأنف من أحقية المستأنفة بتقاضي بدل السكن يكون قد صادف صحيح القانون</w:t>
      </w:r>
      <w:bookmarkEnd w:id="7"/>
      <w:r w:rsidR="004F225F" w:rsidRPr="004F225F">
        <w:rPr>
          <w:rFonts w:ascii="Times New Roman" w:eastAsia="Times New Roman" w:hAnsi="Times New Roman" w:cs="Times New Roman"/>
          <w:b/>
          <w:bCs/>
          <w:sz w:val="28"/>
          <w:szCs w:val="28"/>
          <w:rtl/>
          <w:lang w:eastAsia="ar-SA" w:bidi="ar-AE"/>
        </w:rPr>
        <w:t xml:space="preserve">. وكان الثابت من الأوراق أن إيقاف بدل السكن كان من تاريخ 25/4/2019 فالمحكمة تقضي بتعديل الحكم المستأنف </w:t>
      </w:r>
      <w:r>
        <w:rPr>
          <w:rFonts w:ascii="Times New Roman" w:eastAsia="Times New Roman" w:hAnsi="Times New Roman" w:cs="Times New Roman" w:hint="cs"/>
          <w:b/>
          <w:bCs/>
          <w:sz w:val="28"/>
          <w:szCs w:val="28"/>
          <w:rtl/>
          <w:lang w:eastAsia="ar-SA" w:bidi="ar-AE"/>
        </w:rPr>
        <w:t>....</w:t>
      </w:r>
      <w:r w:rsidR="004F225F" w:rsidRPr="004F225F">
        <w:rPr>
          <w:rFonts w:ascii="Times New Roman" w:eastAsia="Times New Roman" w:hAnsi="Times New Roman" w:cs="Times New Roman"/>
          <w:b/>
          <w:bCs/>
          <w:sz w:val="28"/>
          <w:szCs w:val="28"/>
          <w:rtl/>
          <w:lang w:eastAsia="ar-SA" w:bidi="ar-AE"/>
        </w:rPr>
        <w:t xml:space="preserve">.  </w:t>
      </w:r>
      <w:r>
        <w:rPr>
          <w:rFonts w:ascii="Times New Roman" w:eastAsia="Times New Roman" w:hAnsi="Times New Roman" w:cs="Times New Roman" w:hint="cs"/>
          <w:b/>
          <w:bCs/>
          <w:sz w:val="28"/>
          <w:szCs w:val="28"/>
          <w:rtl/>
          <w:lang w:eastAsia="ar-SA" w:bidi="ar-AE"/>
        </w:rPr>
        <w:t xml:space="preserve">، </w:t>
      </w:r>
      <w:r w:rsidR="004F225F" w:rsidRPr="004F225F">
        <w:rPr>
          <w:rFonts w:ascii="Times New Roman" w:eastAsia="Times New Roman" w:hAnsi="Times New Roman" w:cs="Times New Roman"/>
          <w:b/>
          <w:bCs/>
          <w:sz w:val="28"/>
          <w:szCs w:val="28"/>
          <w:rtl/>
          <w:lang w:eastAsia="ar-SA" w:bidi="ar-AE"/>
        </w:rPr>
        <w:t>ولما كان ذلك، وكان ما انتهى إليه الحكم المستأنف قد صادف صحيح القانون الأمر الذي تقضي معه هذه المحكمة برفض الاستئناف وبتأييد الحكم المستأنف.</w:t>
      </w:r>
    </w:p>
    <w:p w14:paraId="4E04785A" w14:textId="77777777" w:rsidR="00A16D76" w:rsidRPr="00B204A8" w:rsidRDefault="00A16D76" w:rsidP="00D56DD3">
      <w:pPr>
        <w:spacing w:after="0" w:line="360" w:lineRule="auto"/>
        <w:ind w:firstLine="540"/>
        <w:jc w:val="both"/>
        <w:rPr>
          <w:rFonts w:ascii="Times New Roman" w:eastAsia="Times New Roman" w:hAnsi="Times New Roman" w:cs="Times New Roman"/>
          <w:b/>
          <w:bCs/>
          <w:sz w:val="28"/>
          <w:szCs w:val="28"/>
          <w:rtl/>
          <w:lang w:eastAsia="ar-SA" w:bidi="ar-AE"/>
        </w:rPr>
      </w:pPr>
    </w:p>
    <w:p w14:paraId="77E6CD74" w14:textId="34FE8BEE" w:rsidR="00237A75" w:rsidRDefault="006C60B7" w:rsidP="004F225F">
      <w:pPr>
        <w:spacing w:after="0" w:line="360" w:lineRule="auto"/>
        <w:jc w:val="center"/>
        <w:rPr>
          <w:rFonts w:ascii="Times New Roman" w:eastAsia="Times New Roman" w:hAnsi="Times New Roman" w:cs="Times New Roman"/>
          <w:b/>
          <w:bCs/>
          <w:sz w:val="32"/>
          <w:szCs w:val="32"/>
          <w:rtl/>
          <w:lang w:eastAsia="ar-SA" w:bidi="ar-AE"/>
        </w:rPr>
      </w:pPr>
      <w:r w:rsidRPr="00AB284D">
        <w:rPr>
          <w:rFonts w:ascii="Times New Roman" w:eastAsia="Times New Roman" w:hAnsi="Times New Roman" w:cs="Times New Roman"/>
          <w:b/>
          <w:bCs/>
          <w:sz w:val="32"/>
          <w:szCs w:val="32"/>
          <w:rtl/>
          <w:lang w:eastAsia="ar-SA" w:bidi="ar-AE"/>
        </w:rPr>
        <w:lastRenderedPageBreak/>
        <w:t>المحكمة</w:t>
      </w:r>
    </w:p>
    <w:p w14:paraId="735CE642" w14:textId="4CFE1F33" w:rsidR="00A16D76" w:rsidRDefault="00A16D76" w:rsidP="004F225F">
      <w:pPr>
        <w:spacing w:after="0" w:line="360" w:lineRule="auto"/>
        <w:jc w:val="center"/>
        <w:rPr>
          <w:rFonts w:ascii="Times New Roman" w:eastAsia="Times New Roman" w:hAnsi="Times New Roman" w:cs="Times New Roman"/>
          <w:b/>
          <w:bCs/>
          <w:sz w:val="32"/>
          <w:szCs w:val="32"/>
          <w:rtl/>
          <w:lang w:eastAsia="ar-SA" w:bidi="ar-AE"/>
        </w:rPr>
      </w:pPr>
      <w:r>
        <w:rPr>
          <w:rFonts w:ascii="Times New Roman" w:eastAsia="Times New Roman" w:hAnsi="Times New Roman" w:cs="Times New Roman" w:hint="cs"/>
          <w:b/>
          <w:bCs/>
          <w:sz w:val="32"/>
          <w:szCs w:val="32"/>
          <w:rtl/>
          <w:lang w:eastAsia="ar-SA" w:bidi="ar-AE"/>
        </w:rPr>
        <w:t>____________</w:t>
      </w:r>
    </w:p>
    <w:p w14:paraId="2BCFBA29" w14:textId="77777777" w:rsidR="00A16D76" w:rsidRPr="00A16D76" w:rsidRDefault="00A16D76" w:rsidP="004F225F">
      <w:pPr>
        <w:spacing w:after="0" w:line="360" w:lineRule="auto"/>
        <w:jc w:val="center"/>
        <w:rPr>
          <w:rFonts w:ascii="Times New Roman" w:eastAsia="Times New Roman" w:hAnsi="Times New Roman" w:cs="Times New Roman"/>
          <w:b/>
          <w:bCs/>
          <w:sz w:val="10"/>
          <w:szCs w:val="10"/>
          <w:rtl/>
          <w:lang w:eastAsia="ar-SA" w:bidi="ar-AE"/>
        </w:rPr>
      </w:pPr>
    </w:p>
    <w:p w14:paraId="72066A52" w14:textId="5E7F77AD" w:rsidR="00237A75" w:rsidRPr="00237A75" w:rsidRDefault="00A16D76"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Pr>
          <w:rFonts w:ascii="Times New Roman" w:eastAsia="Times New Roman" w:hAnsi="Times New Roman" w:cs="Times New Roman" w:hint="cs"/>
          <w:sz w:val="32"/>
          <w:szCs w:val="32"/>
          <w:rtl/>
          <w:lang w:eastAsia="ar-SA" w:bidi="ar-AE"/>
        </w:rPr>
        <w:t xml:space="preserve"> </w:t>
      </w:r>
      <w:r w:rsidR="00237A75" w:rsidRPr="00237A75">
        <w:rPr>
          <w:rFonts w:ascii="Times New Roman" w:eastAsia="Times New Roman" w:hAnsi="Times New Roman" w:cs="Times New Roman"/>
          <w:sz w:val="32"/>
          <w:szCs w:val="32"/>
          <w:rtl/>
          <w:lang w:eastAsia="ar-SA" w:bidi="ar-AE"/>
        </w:rPr>
        <w:t xml:space="preserve">حيث إن الوقائع على ما يبين من الحكم المطعون فيه وسائر أوراق الطعن تتحصل في أنه سبق لهذه المحكمة وأن حصلت وقائع الدعوى فتحيل إليها منعاً للتكرار والإطالة وتوجزها في أن المطعون ضدها – المدعية - كانت قد أقامت الدعوى رقم </w:t>
      </w:r>
      <w:r>
        <w:rPr>
          <w:rFonts w:ascii="Times New Roman" w:eastAsia="Times New Roman" w:hAnsi="Times New Roman" w:cs="Times New Roman" w:hint="cs"/>
          <w:sz w:val="32"/>
          <w:szCs w:val="32"/>
          <w:rtl/>
          <w:lang w:eastAsia="ar-SA" w:bidi="ar-AE"/>
        </w:rPr>
        <w:t>....</w:t>
      </w:r>
      <w:r w:rsidR="00237A75" w:rsidRPr="00237A75">
        <w:rPr>
          <w:rFonts w:ascii="Times New Roman" w:eastAsia="Times New Roman" w:hAnsi="Times New Roman" w:cs="Times New Roman"/>
          <w:sz w:val="32"/>
          <w:szCs w:val="32"/>
          <w:rtl/>
          <w:lang w:eastAsia="ar-SA" w:bidi="ar-AE"/>
        </w:rPr>
        <w:t xml:space="preserve"> لسنة 2024 بموجب صحيفة أودعت مكتب إدارة الدعوى بتاريخ 26/12/2024 طلبت في ختامها الحكم: - أولاً: بقبول الدعوي شكلا. ثانياً: وفي الموضوع: بإلغاء القرار الإداري الصادر بإيقاف صرف علاوة بدل السكن لصالح المدعية مع استحقاقها ما تم خصمه من مبالغ كبدل سكن. ثالثا: إلزام المدعى عليها بالمصروفات والرسوم ومقابل أتعاب المحاماة، مع شمول الحكم بوصف النفاذ المعجل وبلا كفالة والرسوم والمصاريف.</w:t>
      </w:r>
    </w:p>
    <w:p w14:paraId="7B29B68F" w14:textId="0F27A157"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وقالت المدعية شرحاً لدعواها إنها تعمل لدى المدعى عليها بوظيفة تنفيذي رئيسي تنسيق ومتابعة بدرجة مواطن/ الثالثة، وقد التحقت بالعمل منذ تاريخ 7/10/2011، ولم يتضمن راتبها علاوة بدل السكن، فتقدمت في مارس عام 2013 بطلب صرف لبدل السكن وتم الموافقة على صرف بدل السكن في مايو2013 - بواقع 2000 درهم، وحيث إن المدعية فوجئت بقرار الإدارة بوقف منحها بدل السكن المخصص لها منذ أبريل 2019، باعتبار أن علاوة بدل السكن مشمولة في العلاوة التكميلية وأن زوجها الذي يعمل لدى بلدية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يتقاضى بدل سكن نقدياً.</w:t>
      </w:r>
    </w:p>
    <w:p w14:paraId="0A4D8603" w14:textId="77777777"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ونعت على القرار المطعون فيه مخالفة القواعد المنظمة لمنح بدل السكن للموظف والتي قررت أنه إذا اجتمع الزوج والزوجة في خدمة الحكومة الاتحادية أو في خدمتها والخدمة في دائرة حكومية بإحدى الإمارات الأعضاء في الاتحاد أو في غيرها من المؤسسات أو الشركات فيقتصر منح بدل السكن لأكبرهما راتباً.</w:t>
      </w:r>
    </w:p>
    <w:p w14:paraId="5B1AD085" w14:textId="51C98F0D"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ولما كان زوج المدعية هو السيد/ </w:t>
      </w:r>
      <w:r w:rsidR="004F225F">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–إماراتي الجنسية، ويعمل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 ولا يزال على رأس عمله وقد خلت مفردات راتبه من أنه يتقاضى بدل سكن بما يحق معه للمدعية المطالبة ببدل السكن من جهة عملها واستحقاق ما تم خصمه من مبالغ وقامت بتسجيل تظلمها لدى لجنة </w:t>
      </w:r>
      <w:r w:rsidRPr="00237A75">
        <w:rPr>
          <w:rFonts w:ascii="Times New Roman" w:eastAsia="Times New Roman" w:hAnsi="Times New Roman" w:cs="Times New Roman"/>
          <w:sz w:val="32"/>
          <w:szCs w:val="32"/>
          <w:rtl/>
          <w:lang w:eastAsia="ar-SA" w:bidi="ar-AE"/>
        </w:rPr>
        <w:lastRenderedPageBreak/>
        <w:t xml:space="preserve">التظلمات المختصة بتاريخ 14/10/2024 إلا أن الجهة الإدارية لم تستجب مما حدا بها الى إقامة دعواها للقضاء لها بالطلبات. </w:t>
      </w:r>
    </w:p>
    <w:p w14:paraId="2EBE5755" w14:textId="77777777"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وحيث إن محكمة أول درجة قضت بجلسة 24/3/2025 بإلزام المدعى عليها بأن تؤدي للمدعية بدل السكن من تاريخ إيقافه اعتباراً من تاريخ 14/06/2021 وألزمتها المصروفات. </w:t>
      </w:r>
    </w:p>
    <w:p w14:paraId="572929A0" w14:textId="77777777"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وقضت محكمة الاستئناف في 29/1/2025- أولاً: بقبول الاستئناف رقم 93 لسنة 2025 شكلاً وفي الموضوع بتعديل حكم محكمة أول درجة ليكون بإلزام المدعى عليها بأن تؤدي للمدعية بدل السكن من تاريخ إيقافه اعتباراً من 25/4/2019 وألزمت المستأنف ضدها بالمصروفات. ثانياً: بقبول الاستئناف رقم 92 لسنة 2025 شكلاً وبرفضه موضوعاً وألزمت المستأنفة المصروفات. </w:t>
      </w:r>
    </w:p>
    <w:p w14:paraId="612EBF7B" w14:textId="0DF669F0"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وبجلسة 21/1/2026 قضت المحكمة الاتحادية العليا بعد الطعن عليه بالنقض بالطعن رقم 975 لسنة 2026 بنقض الحكم المطعون فيه وأحالت الدعوى إلى المحكمة التي أصدرته لنظرها بهيئة مغايرة، وأقامت قضاءها على أن أسباب الحكم تعتبر مشوبة بالفساد في الاستدلال إذ انطوت على عيب يمس سلامة الاستنباط، ويتحقق ذلك إذا استندت المحكمة في اقتناعها إلى أدلة غير صالحة من الناحية الموضوعية للاقتناع بها، أو إلى فهم خاطئ للعناصر الواقعية التي تثبت لديها أو وقوع تناقض بين هذه العناصر كما في حالة عدم اللزوم المنطقي للنتيجة التي انتهت إليها المحكمة بناء على تلك العناصر التي ثبتت لديها، إضافة إلى اشتمال حكمها على ما يطمئن المطلع عليه أن المحكمة استنفدت كل ما في سلطتها من وسائل لكشف وجه الحق في الدعوى، وأن مخالفة ذلك يحسب عليها قصوراً يوجب نقض حكمها، وأن الحكم المطعون فيه حجب نفسه عن بحث دفاع الطاعنة بشأن ما تمسكت به من أن المطعون ضدها لا تستحق بدل السكن لكون زوجها يتقاضى ذلك ضمن راتبه الشامل وفق ما هو مبين بقرار المجلس التنفيذي رقم 13 لسنة 2021 بشأن نظام البدلات والمكافآت المالية لموظفي الجهات الحكومية بحكومة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واكتفى بالقول إن الجهة الإدارية نكلت عن سداد الأمانة وطلبت العدول عن الحكم التمهيدي وهو ليس حقاً لها يجوز </w:t>
      </w:r>
      <w:r w:rsidRPr="00237A75">
        <w:rPr>
          <w:rFonts w:ascii="Times New Roman" w:eastAsia="Times New Roman" w:hAnsi="Times New Roman" w:cs="Times New Roman"/>
          <w:sz w:val="32"/>
          <w:szCs w:val="32"/>
          <w:rtl/>
          <w:lang w:eastAsia="ar-SA" w:bidi="ar-AE"/>
        </w:rPr>
        <w:lastRenderedPageBreak/>
        <w:t xml:space="preserve">التنازل عنه الأمر الذي يقيم قرينة بصحة كافة ما ادعته المدعية مما يصم قضاءها بعيب القصور بالتسبيب والإخلال بحق الدفاع مما جره إلى الخطأ في تطبيق القانون. </w:t>
      </w:r>
    </w:p>
    <w:p w14:paraId="5974C226" w14:textId="77777777" w:rsidR="00237A75" w:rsidRPr="00237A75" w:rsidRDefault="00237A75" w:rsidP="004F225F">
      <w:pPr>
        <w:tabs>
          <w:tab w:val="left" w:pos="3140"/>
        </w:tabs>
        <w:spacing w:after="0" w:line="360" w:lineRule="auto"/>
        <w:ind w:firstLine="27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وحيث إنه بعد طرح الدعوى أمام محكمة الإحالة قضت بجلسة 29/4/2026: أولاً: بقبول الاستئناف رقم 93 لسنة 2025 شكلاً وفي الموضوع بتعديل حكم محكمة أول درجة ليكون بإلزام المدعى عليها بأن تؤدي للمدعية بدل السكن من تاريخ إيقافه اعتباراً من 25/4/2019 وألزمت المستأنف ضدها بالمصروفات. ثانياً: بقبول الاستئناف رقم 92 لسنة 2025 شكلاً وبرفضه موضوعاً وألزمت المستأنف المصروفات. </w:t>
      </w:r>
    </w:p>
    <w:p w14:paraId="6F491E4B" w14:textId="77777777" w:rsidR="00237A75" w:rsidRPr="00237A75" w:rsidRDefault="00237A75" w:rsidP="004F225F">
      <w:pPr>
        <w:tabs>
          <w:tab w:val="left" w:pos="3140"/>
        </w:tabs>
        <w:spacing w:after="0" w:line="360" w:lineRule="auto"/>
        <w:ind w:firstLine="27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فطعنت عليه الطاعنة بالطعن الماثل للمرة الثانية، وبجلسة 24/6/2024 حكمت المحكمة الاتحادية العليا – في الطعن:</w:t>
      </w:r>
    </w:p>
    <w:p w14:paraId="631C1210" w14:textId="77777777" w:rsidR="00237A75" w:rsidRPr="00237A75" w:rsidRDefault="00237A75" w:rsidP="004F225F">
      <w:pPr>
        <w:tabs>
          <w:tab w:val="left" w:pos="3140"/>
        </w:tabs>
        <w:spacing w:after="0" w:line="360" w:lineRule="auto"/>
        <w:ind w:firstLine="27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أولاً: بنقض الحكم المطعون فيه، وألزمت المطعون ضدها الرسوم والمصروفات. </w:t>
      </w:r>
    </w:p>
    <w:p w14:paraId="46EDE287" w14:textId="77777777" w:rsidR="00237A75" w:rsidRPr="00237A75" w:rsidRDefault="00237A75" w:rsidP="004F225F">
      <w:pPr>
        <w:tabs>
          <w:tab w:val="left" w:pos="3140"/>
        </w:tabs>
        <w:spacing w:after="0" w:line="360" w:lineRule="auto"/>
        <w:ind w:firstLine="27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ثانياً: وقبل الفصل في موضوع الاستئناف بندب خبير في الموارد البشرية تكون مهمته الاطلاع على أوراق الدعوى ومستنداتها وما عسى أن يقدمه له الخصوم، وسماع أقوال الطرفين بغير حلف لبيان:-</w:t>
      </w:r>
    </w:p>
    <w:p w14:paraId="2F183268" w14:textId="77777777" w:rsidR="00237A75" w:rsidRPr="00237A75" w:rsidRDefault="00237A75" w:rsidP="004F225F">
      <w:pPr>
        <w:tabs>
          <w:tab w:val="left" w:pos="3140"/>
        </w:tabs>
        <w:spacing w:after="0" w:line="360" w:lineRule="auto"/>
        <w:ind w:firstLine="27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1- تاريخ التحاق المستأنفة وزجها بالعمل وبيان تلك الجهة وبيان المسافة بين الجهتين </w:t>
      </w:r>
    </w:p>
    <w:p w14:paraId="4E527FB2" w14:textId="77777777" w:rsidR="00237A75" w:rsidRPr="00237A75" w:rsidRDefault="00237A75" w:rsidP="004F225F">
      <w:pPr>
        <w:tabs>
          <w:tab w:val="left" w:pos="3140"/>
        </w:tabs>
        <w:spacing w:after="0" w:line="360" w:lineRule="auto"/>
        <w:ind w:firstLine="27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2- بيان تاريخ إيقاف صرف بدل السكن للمستأنفة على وجه الدقة وسبب إيقاف الصرف.    </w:t>
      </w:r>
    </w:p>
    <w:p w14:paraId="4DF9A72E" w14:textId="6EFA13D4" w:rsidR="00237A75" w:rsidRPr="00237A75" w:rsidRDefault="00237A75" w:rsidP="004F225F">
      <w:pPr>
        <w:tabs>
          <w:tab w:val="left" w:pos="3140"/>
        </w:tabs>
        <w:spacing w:after="0" w:line="360" w:lineRule="auto"/>
        <w:ind w:firstLine="27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3- بيان مدى صحة ما أوردته الجهة الإدارية بدفاعها من أن زوج المستأنف ضدها يصرف بدل سكن ضمن مفردات راتبه من عدمه على ضوء قرار المجلس التنفيذي رقم 13 لسنة 2021 إثر تعريفه للقانون: القانون رقم 6 لسنة 2015 بشأن الموارد البشرية لإمارة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وتعديلاته. وجاء بتعريف اللائحة: اللائحة التنفيذية رقم 6 لسنة 2015 بشأن الموارد البشرية لإمارة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وتعديلاته والقرارات ذات الصلة وتحقيق دفاع الطرفين لبيان وجه الحق في الدعوى.  </w:t>
      </w:r>
    </w:p>
    <w:p w14:paraId="7D8F6F8A" w14:textId="07B8C2A6" w:rsidR="00237A75" w:rsidRPr="00237A75" w:rsidRDefault="00237A75" w:rsidP="004F225F">
      <w:pPr>
        <w:tabs>
          <w:tab w:val="left" w:pos="3140"/>
        </w:tabs>
        <w:spacing w:after="0" w:line="360" w:lineRule="auto"/>
        <w:ind w:firstLine="27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وبتاريخ 27/7/2026 أودع الخبير تقريره وخلص فيه إلى: (أن المطعون ضدها التحقت بالعمل لدى الطاعنة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بتاريخ 10/07/2011، واستمرت على رأس عملها لديها حتى تاريخ 31/12/2025، ثم تم نقلها إلى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بتاريخ 01/01/2026، وذلك وفقاً لشهادات الراتب الصادرة </w:t>
      </w:r>
      <w:r w:rsidRPr="00237A75">
        <w:rPr>
          <w:rFonts w:ascii="Times New Roman" w:eastAsia="Times New Roman" w:hAnsi="Times New Roman" w:cs="Times New Roman"/>
          <w:sz w:val="32"/>
          <w:szCs w:val="32"/>
          <w:rtl/>
          <w:lang w:eastAsia="ar-SA" w:bidi="ar-AE"/>
        </w:rPr>
        <w:lastRenderedPageBreak/>
        <w:t xml:space="preserve">من الطاعنة. كما تبين لنا أن زوج المطعون ضدها السيد/ </w:t>
      </w:r>
      <w:r w:rsidR="00CC11D1">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يعمل لدى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منذ تاريخ 28/07/2005 وما زال على رأس عمله، وأن مقر عمل المطعون ضدها هو دار القضاء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ومقر عمل زوجها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وتبلغ المسافة بين الجهتين 10 كيلومترات حسب برنامج جوجل - سبب إيقاف صرف علاوة بدل السكن هو أن زوج المطعون ضدها يعمل لدى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كما تبين لنا من شهادة الراتب التفصيلية الخاصة بالمطعون ضدها الصادرة من الطاعنة بتاريخ 30/04/2019 أن بدل السكن كان من ضمن مفردات الراتب، في حين أن شهادتي الراتب الصادرتين بتاريخ 09/07/2026 عن شهري مايو 2019 ويونيو 2019 تبينان أن بدل السكن لم يعد من ضمن مفردات الراتب، وعليه فإن تاريخ إيقاف صرف بدل السكن يكون اعتباراً من راتب شهر مايو 2019 - شهادة لمن يهمه الأمر الصادرة من بلدية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بشأن زوج المطعون ضدها لم يرد ضمن مفردات الراتب فيها بند بدل السكن، كما تبين من إفادة ممثلي دائرة الموارد البشرية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ومن القوانين والقرارات والجداول والنماذج التي اطلعت عليها الخبرة، أن بدل السكن لا يرد ضمن جداول المواطنين العاملين في حكومة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بينما ورد ضمن جدول غير المواطنين والعقود المحلية. كما تبين من قرار المجلس التنفيذي رقم (13) لسنة 2021م - زوج المطعون ضدها لا يصرف له علاوة بدل سكن حسب شهادة راتبه التي لا تتضمن بدل السكن، كما لم يثبت للخبرة من المستندات والقوانين والجداول والنماذج المشار إليها أن المواطنين العاملين في حكومة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لا يصرف لهم بدل سكن ضمن مفردات رواتبهم، وأما ما أوردته الطاعنة بشأن استحقاق بدل السكن من ذوي العقد المحلي (أ) و(ب)، فإن هذين العقدين مخصصان لغير المواطنين).</w:t>
      </w:r>
    </w:p>
    <w:p w14:paraId="02B70D8D" w14:textId="77777777"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وحيث إن الطعن نظر وفق ما آلت إليه محاضر الجلسات وحددت جلسة اليوم للنطق بالحكم. </w:t>
      </w:r>
    </w:p>
    <w:p w14:paraId="438F9CFC" w14:textId="77777777"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وحيث إنه عن موضوع الاستئناف فإن المحكمة ومن نافلة القول تذكر أنها من موقعها </w:t>
      </w:r>
      <w:bookmarkStart w:id="8" w:name="_Hlk241079710"/>
      <w:r w:rsidRPr="00237A75">
        <w:rPr>
          <w:rFonts w:ascii="Times New Roman" w:eastAsia="Times New Roman" w:hAnsi="Times New Roman" w:cs="Times New Roman"/>
          <w:sz w:val="32"/>
          <w:szCs w:val="32"/>
          <w:rtl/>
          <w:lang w:eastAsia="ar-SA" w:bidi="ar-AE"/>
        </w:rPr>
        <w:t xml:space="preserve">لا تقتصر وظيفتها على مراقبة الحكم المستأنف من حيث سلامة التطبيق القانوني فحسب، وإنما يترتب على رفع الاستئناف </w:t>
      </w:r>
      <w:bookmarkStart w:id="9" w:name="_Hlk241087760"/>
      <w:r w:rsidRPr="00237A75">
        <w:rPr>
          <w:rFonts w:ascii="Times New Roman" w:eastAsia="Times New Roman" w:hAnsi="Times New Roman" w:cs="Times New Roman"/>
          <w:sz w:val="32"/>
          <w:szCs w:val="32"/>
          <w:rtl/>
          <w:lang w:eastAsia="ar-SA" w:bidi="ar-AE"/>
        </w:rPr>
        <w:t xml:space="preserve">نقل موضوع الدعوى إليها لتفصل فيه من جديد في حدود طلبات المستأنف وإعادة طرحه عليها بكل ما اشتمل عليه من أدلة ودفوع وأوجه دفاع لتواجه عناصر </w:t>
      </w:r>
      <w:r w:rsidRPr="00237A75">
        <w:rPr>
          <w:rFonts w:ascii="Times New Roman" w:eastAsia="Times New Roman" w:hAnsi="Times New Roman" w:cs="Times New Roman"/>
          <w:sz w:val="32"/>
          <w:szCs w:val="32"/>
          <w:rtl/>
          <w:lang w:eastAsia="ar-SA" w:bidi="ar-AE"/>
        </w:rPr>
        <w:lastRenderedPageBreak/>
        <w:t>النزاع الواقعية والقانونية</w:t>
      </w:r>
      <w:bookmarkEnd w:id="9"/>
      <w:r w:rsidRPr="00237A75">
        <w:rPr>
          <w:rFonts w:ascii="Times New Roman" w:eastAsia="Times New Roman" w:hAnsi="Times New Roman" w:cs="Times New Roman"/>
          <w:sz w:val="32"/>
          <w:szCs w:val="32"/>
          <w:rtl/>
          <w:lang w:eastAsia="ar-SA" w:bidi="ar-AE"/>
        </w:rPr>
        <w:t xml:space="preserve">، وتعمل على تطبيق القاعدة القانونية التي تراها صحيحة على وقائع الدعوى وتتدارك ما يرد في الحكم المستأنف من أخطاء وفي حدود ما رفع عنه الاستئناف. </w:t>
      </w:r>
    </w:p>
    <w:p w14:paraId="77864351" w14:textId="77777777"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وكان من المقرر أن تحصيل فهم الواقع في الدعوى، وتقدير الأدلة فيها بما فيها تقارير الخبراء باعتبارها عنصراً من عناصر الإثبات، والموازنة والترجيح بينها، وتفسير العقود والاتفاقات وسائر المحررات بما هو أوفى بمقصود عاقديها، وتحري صفة الخصوم في الدعوى، وتحديد الطرف المخل بالتزامه العقدي، تعود لسلطة محكمة الموضوع متى أقامت قضاءها على أسباب سائغة لها أصلها الثابت بالأوراق وكافية لحمله، إذ لها الأخذ بتقرير الخبير متى اقتنعت بكفاية الأبحاث التي أجراها وسلامة الأسس التي بني عليها، ويخضع عمله لتقدير المحكمة التي يحق لها الاكتفاء بما أجراه ما دامت قد اطمأنت إليه وإلى صحة أسبابه على نحو يكفي لتكوين عقيدتها للفصل في الدعوى، فإن رأت الأخذ بتقريره كله أو بعضه في حدود سلطتها التقديرية، فلا تثريب عليها في ذلك دون أن تكون ملزمة بالرد استقلالاً على ما يثيره الخصوم من مطاعن على هذا التقرير، إذ إن في أخذها به محمولا على أسبابه ما يفيد أنها لم تجد في تلك المطاعن ما يستحق الرد عليه بأكثر مما ورد فيه، كما أن لها ألا تستجيب لطلب الخصوم إعادة المأمورية إلى ذات الخبير أو استبداله متى وجدت في أوراق الدعوى ما يكفي لتكوين عقيدتها في الدعوى.</w:t>
      </w:r>
    </w:p>
    <w:p w14:paraId="74D16E1D" w14:textId="305BF04C" w:rsidR="00237A75" w:rsidRPr="00237A75"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 xml:space="preserve">والمحكمة تشير إلى أنها بعد اطلاعها على الحكم المستأنف ووقوفها على المستندات وسائر البينات المحتج بها وخاصة تقرير الخبير المنتدب أمامها وإحاطتها بواقع القضية ووقائعها ارتأت أن الخبرة قد حققت في جميع نقاط النزاع الحاصلة بين الخصوم ومحصت تفاصيلها وأبدت رأيها في الأمور الفنية، وهو ما جعلها تحظى باطمئنان المحكمة والأخذ بها في جل النتائج التي انتهت إليها، وكان الخبير قد انتهى إلى ما خلاصته أن زوج المطعون ضدها لا يتقاضى بدل السكن وأن بدل السكن لم يعد من ضمن مفردات الراتب، وأن المواطنين العاملين في حكومة </w:t>
      </w:r>
      <w:r w:rsidR="00A16D76">
        <w:rPr>
          <w:rFonts w:ascii="Times New Roman" w:eastAsia="Times New Roman" w:hAnsi="Times New Roman" w:cs="Times New Roman" w:hint="cs"/>
          <w:sz w:val="32"/>
          <w:szCs w:val="32"/>
          <w:rtl/>
          <w:lang w:eastAsia="ar-SA" w:bidi="ar-AE"/>
        </w:rPr>
        <w:t>....</w:t>
      </w:r>
      <w:r w:rsidRPr="00237A75">
        <w:rPr>
          <w:rFonts w:ascii="Times New Roman" w:eastAsia="Times New Roman" w:hAnsi="Times New Roman" w:cs="Times New Roman"/>
          <w:sz w:val="32"/>
          <w:szCs w:val="32"/>
          <w:rtl/>
          <w:lang w:eastAsia="ar-SA" w:bidi="ar-AE"/>
        </w:rPr>
        <w:t xml:space="preserve"> لا يصرف لهم بدل سكن ضمن مفردات رواتبهم، ولما تقدم بما انتهى إليه الحكم المستأنف من أحقية المستأنفة بتقاضي بدل السكن يكون قد صادف صحيح القانون. وكان الثابت من الأوراق أن إيقاف بدل </w:t>
      </w:r>
      <w:r w:rsidRPr="00237A75">
        <w:rPr>
          <w:rFonts w:ascii="Times New Roman" w:eastAsia="Times New Roman" w:hAnsi="Times New Roman" w:cs="Times New Roman"/>
          <w:sz w:val="32"/>
          <w:szCs w:val="32"/>
          <w:rtl/>
          <w:lang w:eastAsia="ar-SA" w:bidi="ar-AE"/>
        </w:rPr>
        <w:lastRenderedPageBreak/>
        <w:t xml:space="preserve">السكن كان من تاريخ 25/4/2019 فالمحكمة تقضي بتعديل الحكم المستأنف بهذا على النحو الذي سيرد بالمنطوق.  </w:t>
      </w:r>
    </w:p>
    <w:p w14:paraId="51BA31B8" w14:textId="217A39C2" w:rsidR="006C60B7" w:rsidRPr="00B204A8" w:rsidRDefault="00237A75" w:rsidP="004F225F">
      <w:pPr>
        <w:tabs>
          <w:tab w:val="left" w:pos="3140"/>
        </w:tabs>
        <w:spacing w:after="0" w:line="360" w:lineRule="auto"/>
        <w:ind w:firstLine="630"/>
        <w:jc w:val="both"/>
        <w:rPr>
          <w:rFonts w:ascii="Times New Roman" w:eastAsia="Times New Roman" w:hAnsi="Times New Roman" w:cs="Times New Roman"/>
          <w:sz w:val="32"/>
          <w:szCs w:val="32"/>
          <w:rtl/>
          <w:lang w:eastAsia="ar-SA" w:bidi="ar-AE"/>
        </w:rPr>
      </w:pPr>
      <w:r w:rsidRPr="00237A75">
        <w:rPr>
          <w:rFonts w:ascii="Times New Roman" w:eastAsia="Times New Roman" w:hAnsi="Times New Roman" w:cs="Times New Roman"/>
          <w:sz w:val="32"/>
          <w:szCs w:val="32"/>
          <w:rtl/>
          <w:lang w:eastAsia="ar-SA" w:bidi="ar-AE"/>
        </w:rPr>
        <w:t>ولما كان ذلك، وكان ما انتهى إليه الحكم المستأنف قد صادف صحيح القانون الأمر الذي تقضي معه هذه المحكمة برفض الاستئناف وبتأييد الحكم المستأنف.</w:t>
      </w:r>
      <w:bookmarkEnd w:id="8"/>
    </w:p>
    <w:bookmarkEnd w:id="2"/>
    <w:bookmarkEnd w:id="3"/>
    <w:p w14:paraId="10F59598" w14:textId="77777777" w:rsidR="006C60B7" w:rsidRDefault="006C60B7" w:rsidP="005B77FB">
      <w:pPr>
        <w:spacing w:after="0" w:line="360" w:lineRule="auto"/>
        <w:jc w:val="center"/>
        <w:rPr>
          <w:rFonts w:ascii="Times New Roman" w:eastAsia="Times New Roman" w:hAnsi="Times New Roman" w:cs="Times New Roman"/>
          <w:b/>
          <w:bCs/>
          <w:noProof/>
          <w:sz w:val="52"/>
          <w:szCs w:val="36"/>
          <w:rtl/>
        </w:rPr>
      </w:pPr>
    </w:p>
    <w:bookmarkEnd w:id="4"/>
    <w:p w14:paraId="082A541F" w14:textId="77777777" w:rsidR="006C60B7" w:rsidRDefault="006C60B7" w:rsidP="005B77FB">
      <w:pPr>
        <w:spacing w:after="0" w:line="360" w:lineRule="auto"/>
        <w:jc w:val="center"/>
        <w:rPr>
          <w:rFonts w:ascii="Times New Roman" w:eastAsia="Times New Roman" w:hAnsi="Times New Roman" w:cs="Times New Roman"/>
          <w:b/>
          <w:bCs/>
          <w:noProof/>
          <w:sz w:val="52"/>
          <w:szCs w:val="36"/>
          <w:rtl/>
        </w:rPr>
      </w:pPr>
    </w:p>
    <w:p w14:paraId="593E20E6" w14:textId="77777777" w:rsidR="00E3757D" w:rsidRDefault="00E3757D" w:rsidP="005B77FB">
      <w:pPr>
        <w:spacing w:after="0" w:line="360" w:lineRule="auto"/>
        <w:jc w:val="center"/>
        <w:rPr>
          <w:rFonts w:ascii="Times New Roman" w:eastAsia="Times New Roman" w:hAnsi="Times New Roman" w:cs="Times New Roman"/>
          <w:b/>
          <w:bCs/>
          <w:noProof/>
          <w:sz w:val="52"/>
          <w:szCs w:val="36"/>
          <w:rtl/>
        </w:rPr>
      </w:pPr>
    </w:p>
    <w:p w14:paraId="548AD564" w14:textId="77777777" w:rsidR="00E3757D" w:rsidRDefault="00E3757D" w:rsidP="005B77FB">
      <w:pPr>
        <w:spacing w:after="0" w:line="360" w:lineRule="auto"/>
        <w:jc w:val="center"/>
        <w:rPr>
          <w:rFonts w:ascii="Times New Roman" w:eastAsia="Times New Roman" w:hAnsi="Times New Roman" w:cs="Times New Roman"/>
          <w:b/>
          <w:bCs/>
          <w:noProof/>
          <w:sz w:val="52"/>
          <w:szCs w:val="36"/>
          <w:rtl/>
        </w:rPr>
      </w:pPr>
    </w:p>
    <w:p w14:paraId="63E25F83" w14:textId="77777777" w:rsidR="00E3757D" w:rsidRDefault="00E3757D" w:rsidP="005B77FB">
      <w:pPr>
        <w:spacing w:after="0" w:line="360" w:lineRule="auto"/>
        <w:jc w:val="center"/>
        <w:rPr>
          <w:rFonts w:ascii="Times New Roman" w:eastAsia="Times New Roman" w:hAnsi="Times New Roman" w:cs="Times New Roman"/>
          <w:b/>
          <w:bCs/>
          <w:noProof/>
          <w:sz w:val="52"/>
          <w:szCs w:val="36"/>
          <w:rtl/>
        </w:rPr>
      </w:pPr>
    </w:p>
    <w:p w14:paraId="59026D9D" w14:textId="77777777" w:rsidR="006C60B7" w:rsidRDefault="006C60B7" w:rsidP="005B77FB">
      <w:pPr>
        <w:spacing w:after="0" w:line="360" w:lineRule="auto"/>
        <w:jc w:val="center"/>
        <w:rPr>
          <w:rFonts w:ascii="Times New Roman" w:eastAsia="Times New Roman" w:hAnsi="Times New Roman" w:cs="Times New Roman"/>
          <w:b/>
          <w:bCs/>
          <w:noProof/>
          <w:sz w:val="52"/>
          <w:szCs w:val="36"/>
          <w:rtl/>
        </w:rPr>
      </w:pPr>
    </w:p>
    <w:bookmarkEnd w:id="0"/>
    <w:bookmarkEnd w:id="1"/>
    <w:bookmarkEnd w:id="5"/>
    <w:p w14:paraId="75645EB5" w14:textId="77777777" w:rsidR="005B77FB" w:rsidRDefault="005B77FB" w:rsidP="00AB284D">
      <w:pPr>
        <w:spacing w:after="0" w:line="360" w:lineRule="auto"/>
        <w:jc w:val="center"/>
        <w:rPr>
          <w:rFonts w:ascii="Times New Roman" w:eastAsia="Times New Roman" w:hAnsi="Times New Roman" w:cs="Times New Roman"/>
          <w:b/>
          <w:bCs/>
          <w:noProof/>
          <w:sz w:val="52"/>
          <w:szCs w:val="36"/>
          <w:rtl/>
        </w:rPr>
      </w:pPr>
    </w:p>
    <w:sectPr w:rsidR="005B77FB" w:rsidSect="008D59B7">
      <w:headerReference w:type="default" r:id="rId9"/>
      <w:footerReference w:type="first" r:id="rId10"/>
      <w:pgSz w:w="12240" w:h="15840"/>
      <w:pgMar w:top="630" w:right="1440" w:bottom="1440" w:left="1440" w:header="99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7D324" w14:textId="77777777" w:rsidR="00E13BCF" w:rsidRDefault="00E13BCF" w:rsidP="00A16F4B">
      <w:pPr>
        <w:spacing w:after="0" w:line="240" w:lineRule="auto"/>
      </w:pPr>
      <w:r>
        <w:separator/>
      </w:r>
    </w:p>
  </w:endnote>
  <w:endnote w:type="continuationSeparator" w:id="0">
    <w:p w14:paraId="6D44AA01" w14:textId="77777777" w:rsidR="00E13BCF" w:rsidRDefault="00E13BCF" w:rsidP="00A16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036CB" w14:textId="7DADC52C" w:rsidR="00A16D76" w:rsidRDefault="00A16D76">
    <w:pPr>
      <w:pStyle w:val="Footer"/>
    </w:pPr>
    <w: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C00DAB" w14:textId="77777777" w:rsidR="00E13BCF" w:rsidRDefault="00E13BCF" w:rsidP="00A16F4B">
      <w:pPr>
        <w:spacing w:after="0" w:line="240" w:lineRule="auto"/>
      </w:pPr>
      <w:r>
        <w:separator/>
      </w:r>
    </w:p>
  </w:footnote>
  <w:footnote w:type="continuationSeparator" w:id="0">
    <w:p w14:paraId="035A1201" w14:textId="77777777" w:rsidR="00E13BCF" w:rsidRDefault="00E13BCF" w:rsidP="00A16F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183CA6" w14:textId="77777777" w:rsidR="00D9017F" w:rsidRPr="00D9017F" w:rsidRDefault="00D9017F" w:rsidP="00D9017F">
    <w:pPr>
      <w:tabs>
        <w:tab w:val="center" w:pos="4320"/>
        <w:tab w:val="right" w:pos="8640"/>
      </w:tabs>
      <w:spacing w:after="0" w:line="360" w:lineRule="auto"/>
      <w:jc w:val="right"/>
      <w:rPr>
        <w:rFonts w:ascii="Times New Roman" w:eastAsia="Times New Roman" w:hAnsi="Times New Roman" w:cs="Times New Roman"/>
        <w:sz w:val="32"/>
        <w:szCs w:val="32"/>
        <w:rtl/>
        <w:lang w:eastAsia="ar-SA" w:bidi="ar-AE"/>
      </w:rPr>
    </w:pPr>
    <w:bookmarkStart w:id="10" w:name="_Hlk186964448"/>
    <w:r w:rsidRPr="00D9017F">
      <w:rPr>
        <w:rFonts w:ascii="Times New Roman" w:eastAsia="Times New Roman" w:hAnsi="Times New Roman" w:cs="Times New Roman"/>
        <w:sz w:val="32"/>
        <w:szCs w:val="32"/>
        <w:rtl/>
        <w:lang w:eastAsia="ar-SA" w:bidi="ar-AE"/>
      </w:rPr>
      <w:t>المحكمة الاتحادية العليا</w:t>
    </w:r>
  </w:p>
  <w:bookmarkEnd w:id="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8D3FBC"/>
    <w:multiLevelType w:val="hybridMultilevel"/>
    <w:tmpl w:val="4F386764"/>
    <w:lvl w:ilvl="0" w:tplc="9CECA42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1428964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0BB"/>
    <w:rsid w:val="000140BB"/>
    <w:rsid w:val="000303CB"/>
    <w:rsid w:val="00043D73"/>
    <w:rsid w:val="000B39BC"/>
    <w:rsid w:val="000C50BF"/>
    <w:rsid w:val="000E39A1"/>
    <w:rsid w:val="00124A4C"/>
    <w:rsid w:val="00142F8B"/>
    <w:rsid w:val="001A40B1"/>
    <w:rsid w:val="001D6E82"/>
    <w:rsid w:val="001F077B"/>
    <w:rsid w:val="002143C2"/>
    <w:rsid w:val="00220ABD"/>
    <w:rsid w:val="002255B2"/>
    <w:rsid w:val="00237A75"/>
    <w:rsid w:val="002B412B"/>
    <w:rsid w:val="002E3D03"/>
    <w:rsid w:val="002E5626"/>
    <w:rsid w:val="00324612"/>
    <w:rsid w:val="00357E7E"/>
    <w:rsid w:val="003757BD"/>
    <w:rsid w:val="003957B8"/>
    <w:rsid w:val="003A19A3"/>
    <w:rsid w:val="00455E92"/>
    <w:rsid w:val="004D038B"/>
    <w:rsid w:val="004D4F1B"/>
    <w:rsid w:val="004F225F"/>
    <w:rsid w:val="0051553E"/>
    <w:rsid w:val="005459C7"/>
    <w:rsid w:val="00552F04"/>
    <w:rsid w:val="00556214"/>
    <w:rsid w:val="005704EB"/>
    <w:rsid w:val="005874E4"/>
    <w:rsid w:val="005B77FB"/>
    <w:rsid w:val="006078E0"/>
    <w:rsid w:val="00614BAC"/>
    <w:rsid w:val="00615D87"/>
    <w:rsid w:val="00615FA0"/>
    <w:rsid w:val="0063063B"/>
    <w:rsid w:val="00652E4F"/>
    <w:rsid w:val="006829B4"/>
    <w:rsid w:val="006B051E"/>
    <w:rsid w:val="006C44B6"/>
    <w:rsid w:val="006C60B7"/>
    <w:rsid w:val="006E0C25"/>
    <w:rsid w:val="006F514C"/>
    <w:rsid w:val="007217BE"/>
    <w:rsid w:val="0073269A"/>
    <w:rsid w:val="00734627"/>
    <w:rsid w:val="007523AF"/>
    <w:rsid w:val="007D5961"/>
    <w:rsid w:val="007F17C0"/>
    <w:rsid w:val="008000C9"/>
    <w:rsid w:val="00826A90"/>
    <w:rsid w:val="00850AA9"/>
    <w:rsid w:val="008917A4"/>
    <w:rsid w:val="008D59B7"/>
    <w:rsid w:val="0090509C"/>
    <w:rsid w:val="009225A0"/>
    <w:rsid w:val="00922A51"/>
    <w:rsid w:val="00934161"/>
    <w:rsid w:val="00960DC0"/>
    <w:rsid w:val="00982B33"/>
    <w:rsid w:val="009C09FD"/>
    <w:rsid w:val="009D4D7B"/>
    <w:rsid w:val="009D74D4"/>
    <w:rsid w:val="00A01371"/>
    <w:rsid w:val="00A16D76"/>
    <w:rsid w:val="00A16F4B"/>
    <w:rsid w:val="00A3330E"/>
    <w:rsid w:val="00A56DD6"/>
    <w:rsid w:val="00A95D29"/>
    <w:rsid w:val="00AB284D"/>
    <w:rsid w:val="00AD23DD"/>
    <w:rsid w:val="00B204A8"/>
    <w:rsid w:val="00B6104D"/>
    <w:rsid w:val="00B733D8"/>
    <w:rsid w:val="00B80DFB"/>
    <w:rsid w:val="00BA1A27"/>
    <w:rsid w:val="00BB4D71"/>
    <w:rsid w:val="00BC0BD8"/>
    <w:rsid w:val="00BD1F66"/>
    <w:rsid w:val="00C04B32"/>
    <w:rsid w:val="00C32D5F"/>
    <w:rsid w:val="00C66667"/>
    <w:rsid w:val="00C9523A"/>
    <w:rsid w:val="00CC11D1"/>
    <w:rsid w:val="00D034DF"/>
    <w:rsid w:val="00D16C63"/>
    <w:rsid w:val="00D44B6C"/>
    <w:rsid w:val="00D56DD3"/>
    <w:rsid w:val="00D61CEA"/>
    <w:rsid w:val="00D66540"/>
    <w:rsid w:val="00D9017F"/>
    <w:rsid w:val="00DE358D"/>
    <w:rsid w:val="00E13BCF"/>
    <w:rsid w:val="00E263FC"/>
    <w:rsid w:val="00E30180"/>
    <w:rsid w:val="00E315AB"/>
    <w:rsid w:val="00E3757D"/>
    <w:rsid w:val="00E760AB"/>
    <w:rsid w:val="00ED6BB8"/>
    <w:rsid w:val="00F05A3E"/>
    <w:rsid w:val="00F20BCA"/>
    <w:rsid w:val="00F647B0"/>
    <w:rsid w:val="00F8121C"/>
    <w:rsid w:val="00F87D1E"/>
    <w:rsid w:val="00F90F7B"/>
    <w:rsid w:val="00F964CD"/>
    <w:rsid w:val="00FA6DD7"/>
    <w:rsid w:val="00FA7389"/>
    <w:rsid w:val="00FC21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FD5AC"/>
  <w15:chartTrackingRefBased/>
  <w15:docId w15:val="{95627487-8AA3-4486-8512-8614C0199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9523A"/>
    <w:pPr>
      <w:keepNext/>
      <w:keepLines/>
      <w:spacing w:before="240" w:after="0"/>
      <w:outlineLvl w:val="0"/>
    </w:pPr>
    <w:rPr>
      <w:rFonts w:ascii="Simplified Arabic" w:eastAsiaTheme="majorEastAsia" w:hAnsi="Simplified Arabic" w:cstheme="majorBidi"/>
      <w:b/>
      <w:sz w:val="4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23A"/>
    <w:rPr>
      <w:rFonts w:ascii="Simplified Arabic" w:eastAsiaTheme="majorEastAsia" w:hAnsi="Simplified Arabic" w:cstheme="majorBidi"/>
      <w:b/>
      <w:sz w:val="44"/>
      <w:szCs w:val="32"/>
    </w:rPr>
  </w:style>
  <w:style w:type="paragraph" w:styleId="Header">
    <w:name w:val="header"/>
    <w:basedOn w:val="Normal"/>
    <w:link w:val="HeaderChar"/>
    <w:uiPriority w:val="99"/>
    <w:unhideWhenUsed/>
    <w:rsid w:val="00A16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F4B"/>
  </w:style>
  <w:style w:type="paragraph" w:styleId="Footer">
    <w:name w:val="footer"/>
    <w:basedOn w:val="Normal"/>
    <w:link w:val="FooterChar"/>
    <w:uiPriority w:val="99"/>
    <w:unhideWhenUsed/>
    <w:rsid w:val="00A16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F4B"/>
  </w:style>
  <w:style w:type="paragraph" w:styleId="ListParagraph">
    <w:name w:val="List Paragraph"/>
    <w:basedOn w:val="Normal"/>
    <w:uiPriority w:val="34"/>
    <w:qFormat/>
    <w:rsid w:val="004F225F"/>
    <w:pPr>
      <w:ind w:left="720"/>
      <w:contextualSpacing/>
    </w:pPr>
  </w:style>
  <w:style w:type="paragraph" w:styleId="BalloonText">
    <w:name w:val="Balloon Text"/>
    <w:basedOn w:val="Normal"/>
    <w:link w:val="BalloonTextChar"/>
    <w:uiPriority w:val="99"/>
    <w:semiHidden/>
    <w:unhideWhenUsed/>
    <w:rsid w:val="00D56D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D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114362">
      <w:bodyDiv w:val="1"/>
      <w:marLeft w:val="0"/>
      <w:marRight w:val="0"/>
      <w:marTop w:val="0"/>
      <w:marBottom w:val="0"/>
      <w:divBdr>
        <w:top w:val="none" w:sz="0" w:space="0" w:color="auto"/>
        <w:left w:val="none" w:sz="0" w:space="0" w:color="auto"/>
        <w:bottom w:val="none" w:sz="0" w:space="0" w:color="auto"/>
        <w:right w:val="none" w:sz="0" w:space="0" w:color="auto"/>
      </w:divBdr>
    </w:div>
    <w:div w:id="201282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DBBDFA0C-D548-48C0-9464-5E54DE34A46B"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8</Pages>
  <Words>1890</Words>
  <Characters>10777</Characters>
  <Application>Microsoft Office Word</Application>
  <DocSecurity>0</DocSecurity>
  <Lines>89</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MOJ</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أحمد صلاح الدين محمد فؤاد</dc:creator>
  <cp:keywords/>
  <dc:description/>
  <cp:lastModifiedBy>ليلى محمد سليم الشكيلي</cp:lastModifiedBy>
  <cp:revision>44</cp:revision>
  <cp:lastPrinted>2026-09-23T14:24:00Z</cp:lastPrinted>
  <dcterms:created xsi:type="dcterms:W3CDTF">2022-11-11T05:13:00Z</dcterms:created>
  <dcterms:modified xsi:type="dcterms:W3CDTF">2026-10-16T06:51:00Z</dcterms:modified>
</cp:coreProperties>
</file>