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E9DA2" w14:textId="39E0A109" w:rsidR="00A536B0" w:rsidRPr="00A536B0" w:rsidRDefault="00A536B0" w:rsidP="00A536B0">
      <w:pPr>
        <w:spacing w:after="0" w:line="360" w:lineRule="auto"/>
        <w:jc w:val="center"/>
        <w:rPr>
          <w:rFonts w:ascii="Times New Roman" w:eastAsia="Times New Roman" w:hAnsi="Times New Roman" w:cs="Times New Roman"/>
          <w:b/>
          <w:bCs/>
          <w:noProof/>
          <w:sz w:val="52"/>
          <w:szCs w:val="36"/>
          <w:rtl/>
        </w:rPr>
      </w:pPr>
      <w:r w:rsidRPr="00A536B0">
        <w:rPr>
          <w:rFonts w:ascii="Calibri" w:eastAsia="Calibri" w:hAnsi="Calibri" w:cs="Arial"/>
          <w:noProof/>
        </w:rPr>
        <w:drawing>
          <wp:inline distT="0" distB="0" distL="0" distR="0" wp14:anchorId="4FE92056" wp14:editId="3530360F">
            <wp:extent cx="5499100" cy="1013460"/>
            <wp:effectExtent l="0" t="0" r="635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499100" cy="1013460"/>
                    </a:xfrm>
                    <a:prstGeom prst="rect">
                      <a:avLst/>
                    </a:prstGeom>
                    <a:noFill/>
                    <a:ln>
                      <a:noFill/>
                    </a:ln>
                  </pic:spPr>
                </pic:pic>
              </a:graphicData>
            </a:graphic>
          </wp:inline>
        </w:drawing>
      </w:r>
      <w:r w:rsidRPr="00A536B0">
        <w:rPr>
          <w:rFonts w:ascii="Times New Roman" w:eastAsia="Times New Roman" w:hAnsi="Times New Roman" w:cs="Times New Roman"/>
          <w:b/>
          <w:bCs/>
          <w:noProof/>
          <w:sz w:val="52"/>
          <w:szCs w:val="36"/>
          <w:rtl/>
        </w:rPr>
        <w:t xml:space="preserve">جلسة </w:t>
      </w:r>
      <w:r w:rsidR="00451FA3">
        <w:rPr>
          <w:rFonts w:ascii="Times New Roman" w:eastAsia="Times New Roman" w:hAnsi="Times New Roman" w:cs="Times New Roman" w:hint="cs"/>
          <w:b/>
          <w:bCs/>
          <w:noProof/>
          <w:sz w:val="52"/>
          <w:szCs w:val="36"/>
          <w:rtl/>
        </w:rPr>
        <w:t>الأربعاء</w:t>
      </w:r>
      <w:r w:rsidRPr="00A536B0">
        <w:rPr>
          <w:rFonts w:ascii="Times New Roman" w:eastAsia="Times New Roman" w:hAnsi="Times New Roman" w:cs="Times New Roman"/>
          <w:b/>
          <w:bCs/>
          <w:noProof/>
          <w:sz w:val="52"/>
          <w:szCs w:val="36"/>
          <w:rtl/>
        </w:rPr>
        <w:t xml:space="preserve"> الموافق 16 من يوليو سنة 2025</w:t>
      </w:r>
    </w:p>
    <w:p w14:paraId="72221A7A" w14:textId="77777777" w:rsidR="00A536B0" w:rsidRPr="00A536B0" w:rsidRDefault="00A536B0" w:rsidP="00A536B0">
      <w:pPr>
        <w:spacing w:after="0" w:line="360" w:lineRule="auto"/>
        <w:jc w:val="center"/>
        <w:rPr>
          <w:rFonts w:ascii="Times New Roman" w:eastAsia="Times New Roman" w:hAnsi="Times New Roman" w:cs="Times New Roman"/>
          <w:noProof/>
          <w:sz w:val="32"/>
          <w:szCs w:val="32"/>
        </w:rPr>
      </w:pPr>
      <w:r w:rsidRPr="00A536B0">
        <w:rPr>
          <w:rFonts w:ascii="Times New Roman" w:eastAsia="Times New Roman" w:hAnsi="Times New Roman" w:cs="Times New Roman"/>
          <w:noProof/>
          <w:sz w:val="32"/>
          <w:szCs w:val="32"/>
          <w:rtl/>
        </w:rPr>
        <w:t>برئاسة السيد القاضي / أحمد راشد السلمان "رئيس الدائرة"</w:t>
      </w:r>
    </w:p>
    <w:p w14:paraId="215EB73A" w14:textId="77777777" w:rsidR="00A536B0" w:rsidRPr="00A536B0" w:rsidRDefault="00A536B0" w:rsidP="00A536B0">
      <w:pPr>
        <w:spacing w:after="0" w:line="360" w:lineRule="auto"/>
        <w:jc w:val="center"/>
        <w:rPr>
          <w:rFonts w:ascii="Times New Roman" w:eastAsia="Times New Roman" w:hAnsi="Times New Roman" w:cs="Times New Roman"/>
          <w:noProof/>
          <w:spacing w:val="-6"/>
          <w:sz w:val="32"/>
          <w:szCs w:val="32"/>
        </w:rPr>
      </w:pPr>
      <w:r w:rsidRPr="00A536B0">
        <w:rPr>
          <w:rFonts w:ascii="Times New Roman" w:eastAsia="Times New Roman" w:hAnsi="Times New Roman" w:cs="Times New Roman"/>
          <w:noProof/>
          <w:sz w:val="32"/>
          <w:szCs w:val="32"/>
          <w:rtl/>
        </w:rPr>
        <w:t xml:space="preserve"> </w:t>
      </w:r>
      <w:r w:rsidRPr="00A536B0">
        <w:rPr>
          <w:rFonts w:ascii="Times New Roman" w:eastAsia="Times New Roman" w:hAnsi="Times New Roman" w:cs="Times New Roman" w:hint="cs"/>
          <w:noProof/>
          <w:spacing w:val="-6"/>
          <w:sz w:val="32"/>
          <w:szCs w:val="32"/>
          <w:rtl/>
        </w:rPr>
        <w:t>وعضوية السادة القضاة / جلال محمد عزت حجازي ود.أكرم سيد بكري محمود.</w:t>
      </w:r>
    </w:p>
    <w:p w14:paraId="49A7FE1E" w14:textId="77777777" w:rsidR="00A536B0" w:rsidRPr="00A536B0" w:rsidRDefault="00A536B0" w:rsidP="00A536B0">
      <w:pPr>
        <w:tabs>
          <w:tab w:val="left" w:pos="5300"/>
        </w:tabs>
        <w:spacing w:after="0" w:line="360" w:lineRule="auto"/>
        <w:jc w:val="center"/>
        <w:rPr>
          <w:rFonts w:ascii="Times New Roman" w:eastAsia="Times New Roman" w:hAnsi="Times New Roman" w:cs="Times New Roman"/>
          <w:b/>
          <w:bCs/>
          <w:noProof/>
          <w:sz w:val="36"/>
          <w:szCs w:val="36"/>
        </w:rPr>
      </w:pPr>
      <w:r w:rsidRPr="00A536B0">
        <w:rPr>
          <w:rFonts w:ascii="Times New Roman" w:eastAsia="Times New Roman" w:hAnsi="Times New Roman" w:cs="Times New Roman"/>
          <w:b/>
          <w:bCs/>
          <w:noProof/>
          <w:sz w:val="36"/>
          <w:szCs w:val="36"/>
          <w:rtl/>
        </w:rPr>
        <w:t>(    )</w:t>
      </w:r>
    </w:p>
    <w:p w14:paraId="4CCC9AC4" w14:textId="5238A7B0" w:rsidR="00A536B0" w:rsidRPr="00A536B0" w:rsidRDefault="00A536B0" w:rsidP="00A536B0">
      <w:pPr>
        <w:spacing w:after="0" w:line="360" w:lineRule="auto"/>
        <w:jc w:val="center"/>
        <w:rPr>
          <w:rFonts w:ascii="Times New Roman" w:eastAsia="Times New Roman" w:hAnsi="Times New Roman" w:cs="Times New Roman"/>
          <w:b/>
          <w:bCs/>
          <w:noProof/>
          <w:sz w:val="36"/>
          <w:szCs w:val="36"/>
        </w:rPr>
      </w:pPr>
      <w:r w:rsidRPr="00A536B0">
        <w:rPr>
          <w:rFonts w:ascii="Times New Roman" w:eastAsia="Times New Roman" w:hAnsi="Times New Roman" w:cs="Times New Roman"/>
          <w:b/>
          <w:bCs/>
          <w:noProof/>
          <w:sz w:val="36"/>
          <w:szCs w:val="36"/>
          <w:rtl/>
        </w:rPr>
        <w:t xml:space="preserve">الطعن رقم </w:t>
      </w:r>
      <w:r w:rsidR="00451FA3">
        <w:rPr>
          <w:rFonts w:ascii="Times New Roman" w:eastAsia="Times New Roman" w:hAnsi="Times New Roman" w:cs="Times New Roman" w:hint="cs"/>
          <w:b/>
          <w:bCs/>
          <w:noProof/>
          <w:sz w:val="36"/>
          <w:szCs w:val="36"/>
          <w:rtl/>
        </w:rPr>
        <w:t>1515</w:t>
      </w:r>
      <w:r w:rsidRPr="00A536B0">
        <w:rPr>
          <w:rFonts w:ascii="Times New Roman" w:eastAsia="Times New Roman" w:hAnsi="Times New Roman" w:cs="Times New Roman"/>
          <w:b/>
          <w:bCs/>
          <w:noProof/>
          <w:sz w:val="36"/>
          <w:szCs w:val="36"/>
          <w:rtl/>
        </w:rPr>
        <w:t xml:space="preserve"> لسنة </w:t>
      </w:r>
      <w:r w:rsidR="00451FA3" w:rsidRPr="00451FA3">
        <w:rPr>
          <w:rFonts w:ascii="Times New Roman" w:eastAsia="Times New Roman" w:hAnsi="Times New Roman" w:cs="Times New Roman" w:hint="cs"/>
          <w:b/>
          <w:bCs/>
          <w:noProof/>
          <w:sz w:val="36"/>
          <w:szCs w:val="36"/>
          <w:rtl/>
        </w:rPr>
        <w:t>2024</w:t>
      </w:r>
      <w:r w:rsidRPr="00451FA3">
        <w:rPr>
          <w:rFonts w:ascii="Times New Roman" w:eastAsia="Times New Roman" w:hAnsi="Times New Roman" w:cs="Times New Roman"/>
          <w:b/>
          <w:bCs/>
          <w:noProof/>
          <w:sz w:val="36"/>
          <w:szCs w:val="36"/>
          <w:rtl/>
        </w:rPr>
        <w:t xml:space="preserve"> </w:t>
      </w:r>
      <w:r w:rsidRPr="00A536B0">
        <w:rPr>
          <w:rFonts w:ascii="Times New Roman" w:eastAsia="Times New Roman" w:hAnsi="Times New Roman" w:cs="Times New Roman"/>
          <w:b/>
          <w:bCs/>
          <w:noProof/>
          <w:sz w:val="36"/>
          <w:szCs w:val="36"/>
          <w:rtl/>
        </w:rPr>
        <w:t>جزائي</w:t>
      </w:r>
    </w:p>
    <w:p w14:paraId="1C96E484" w14:textId="32E4D04F" w:rsidR="002E60F1" w:rsidRPr="002E60F1" w:rsidRDefault="002E60F1" w:rsidP="002E60F1">
      <w:pPr>
        <w:spacing w:after="0" w:line="360" w:lineRule="auto"/>
        <w:jc w:val="both"/>
        <w:rPr>
          <w:rFonts w:ascii="Times New Roman" w:eastAsia="Times New Roman" w:hAnsi="Times New Roman" w:cs="Times New Roman"/>
          <w:b/>
          <w:bCs/>
          <w:noProof/>
          <w:sz w:val="44"/>
          <w:szCs w:val="28"/>
          <w:lang w:bidi="ar-AE"/>
        </w:rPr>
      </w:pPr>
      <w:r w:rsidRPr="002E60F1">
        <w:rPr>
          <w:rFonts w:ascii="Times New Roman" w:eastAsia="Times New Roman" w:hAnsi="Times New Roman" w:cs="Times New Roman"/>
          <w:b/>
          <w:bCs/>
          <w:noProof/>
          <w:sz w:val="44"/>
          <w:szCs w:val="28"/>
          <w:rtl/>
          <w:lang w:bidi="ar-AE"/>
        </w:rPr>
        <w:t xml:space="preserve">(1- </w:t>
      </w:r>
      <w:r w:rsidR="00170EE9">
        <w:rPr>
          <w:rFonts w:ascii="Times New Roman" w:eastAsia="Times New Roman" w:hAnsi="Times New Roman" w:cs="Times New Roman" w:hint="cs"/>
          <w:b/>
          <w:bCs/>
          <w:noProof/>
          <w:sz w:val="44"/>
          <w:szCs w:val="28"/>
          <w:rtl/>
          <w:lang w:bidi="ar-AE"/>
        </w:rPr>
        <w:t>6</w:t>
      </w:r>
      <w:r w:rsidRPr="002E60F1">
        <w:rPr>
          <w:rFonts w:ascii="Times New Roman" w:eastAsia="Times New Roman" w:hAnsi="Times New Roman" w:cs="Times New Roman"/>
          <w:b/>
          <w:bCs/>
          <w:noProof/>
          <w:sz w:val="44"/>
          <w:szCs w:val="28"/>
          <w:rtl/>
          <w:lang w:bidi="ar-AE"/>
        </w:rPr>
        <w:t xml:space="preserve">) حكم "كيفية صياغة الحكم الجزائي". </w:t>
      </w:r>
      <w:r w:rsidR="00C9700F">
        <w:rPr>
          <w:rFonts w:ascii="Times New Roman" w:eastAsia="Times New Roman" w:hAnsi="Times New Roman" w:cs="Times New Roman" w:hint="cs"/>
          <w:b/>
          <w:bCs/>
          <w:noProof/>
          <w:sz w:val="44"/>
          <w:szCs w:val="28"/>
          <w:rtl/>
          <w:lang w:bidi="ar-AE"/>
        </w:rPr>
        <w:t>إجراءات جزائية "ال</w:t>
      </w:r>
      <w:r>
        <w:rPr>
          <w:rFonts w:ascii="Times New Roman" w:eastAsia="Times New Roman" w:hAnsi="Times New Roman" w:cs="Times New Roman" w:hint="cs"/>
          <w:b/>
          <w:bCs/>
          <w:noProof/>
          <w:sz w:val="44"/>
          <w:szCs w:val="28"/>
          <w:rtl/>
          <w:lang w:bidi="ar-AE"/>
        </w:rPr>
        <w:t>بطلان</w:t>
      </w:r>
      <w:r w:rsidR="00C9700F">
        <w:rPr>
          <w:rFonts w:ascii="Times New Roman" w:eastAsia="Times New Roman" w:hAnsi="Times New Roman" w:cs="Times New Roman" w:hint="cs"/>
          <w:b/>
          <w:bCs/>
          <w:noProof/>
          <w:sz w:val="44"/>
          <w:szCs w:val="28"/>
          <w:rtl/>
          <w:lang w:bidi="ar-AE"/>
        </w:rPr>
        <w:t>: ال</w:t>
      </w:r>
      <w:r>
        <w:rPr>
          <w:rFonts w:ascii="Times New Roman" w:eastAsia="Times New Roman" w:hAnsi="Times New Roman" w:cs="Times New Roman" w:hint="cs"/>
          <w:b/>
          <w:bCs/>
          <w:noProof/>
          <w:sz w:val="44"/>
          <w:szCs w:val="28"/>
          <w:rtl/>
          <w:lang w:bidi="ar-AE"/>
        </w:rPr>
        <w:t>إجراء</w:t>
      </w:r>
      <w:r w:rsidR="00C9700F">
        <w:rPr>
          <w:rFonts w:ascii="Times New Roman" w:eastAsia="Times New Roman" w:hAnsi="Times New Roman" w:cs="Times New Roman" w:hint="cs"/>
          <w:b/>
          <w:bCs/>
          <w:noProof/>
          <w:sz w:val="44"/>
          <w:szCs w:val="28"/>
          <w:rtl/>
          <w:lang w:bidi="ar-AE"/>
        </w:rPr>
        <w:t xml:space="preserve"> </w:t>
      </w:r>
      <w:r>
        <w:rPr>
          <w:rFonts w:ascii="Times New Roman" w:eastAsia="Times New Roman" w:hAnsi="Times New Roman" w:cs="Times New Roman" w:hint="cs"/>
          <w:b/>
          <w:bCs/>
          <w:noProof/>
          <w:sz w:val="44"/>
          <w:szCs w:val="28"/>
          <w:rtl/>
          <w:lang w:bidi="ar-AE"/>
        </w:rPr>
        <w:t>ا</w:t>
      </w:r>
      <w:r w:rsidR="00C9700F">
        <w:rPr>
          <w:rFonts w:ascii="Times New Roman" w:eastAsia="Times New Roman" w:hAnsi="Times New Roman" w:cs="Times New Roman" w:hint="cs"/>
          <w:b/>
          <w:bCs/>
          <w:noProof/>
          <w:sz w:val="44"/>
          <w:szCs w:val="28"/>
          <w:rtl/>
          <w:lang w:bidi="ar-AE"/>
        </w:rPr>
        <w:t>لباطل:</w:t>
      </w:r>
      <w:r>
        <w:rPr>
          <w:rFonts w:ascii="Times New Roman" w:eastAsia="Times New Roman" w:hAnsi="Times New Roman" w:cs="Times New Roman" w:hint="cs"/>
          <w:b/>
          <w:bCs/>
          <w:noProof/>
          <w:sz w:val="44"/>
          <w:szCs w:val="28"/>
          <w:rtl/>
          <w:lang w:bidi="ar-AE"/>
        </w:rPr>
        <w:t xml:space="preserve"> متى يكون الإجراء باطلاً"</w:t>
      </w:r>
      <w:r w:rsidR="00C9700F">
        <w:rPr>
          <w:rFonts w:ascii="Times New Roman" w:eastAsia="Times New Roman" w:hAnsi="Times New Roman" w:cs="Times New Roman" w:hint="cs"/>
          <w:b/>
          <w:bCs/>
          <w:noProof/>
          <w:sz w:val="44"/>
          <w:szCs w:val="28"/>
          <w:rtl/>
          <w:lang w:bidi="ar-AE"/>
        </w:rPr>
        <w:t xml:space="preserve"> "الدعوى أمام المحاكم الجزائية: حالات رفع الدعوى الجزائية بناء على شكوى</w:t>
      </w:r>
      <w:r w:rsidR="00E1416D">
        <w:rPr>
          <w:rFonts w:ascii="Times New Roman" w:eastAsia="Times New Roman" w:hAnsi="Times New Roman" w:cs="Times New Roman" w:hint="cs"/>
          <w:b/>
          <w:bCs/>
          <w:noProof/>
          <w:sz w:val="44"/>
          <w:szCs w:val="28"/>
          <w:rtl/>
          <w:lang w:bidi="ar-AE"/>
        </w:rPr>
        <w:t>: مدة سماع الدعوى</w:t>
      </w:r>
      <w:r w:rsidR="00C9700F">
        <w:rPr>
          <w:rFonts w:ascii="Times New Roman" w:eastAsia="Times New Roman" w:hAnsi="Times New Roman" w:cs="Times New Roman" w:hint="cs"/>
          <w:b/>
          <w:bCs/>
          <w:noProof/>
          <w:sz w:val="44"/>
          <w:szCs w:val="28"/>
          <w:rtl/>
          <w:lang w:bidi="ar-AE"/>
        </w:rPr>
        <w:t>".</w:t>
      </w:r>
      <w:r w:rsidRPr="002E60F1">
        <w:rPr>
          <w:rFonts w:ascii="Times New Roman" w:eastAsia="Times New Roman" w:hAnsi="Times New Roman" w:cs="Times New Roman"/>
          <w:b/>
          <w:bCs/>
          <w:noProof/>
          <w:sz w:val="44"/>
          <w:szCs w:val="28"/>
          <w:rtl/>
          <w:lang w:bidi="ar-AE"/>
        </w:rPr>
        <w:t xml:space="preserve"> </w:t>
      </w:r>
      <w:r w:rsidR="00E8295B">
        <w:rPr>
          <w:rFonts w:ascii="Times New Roman" w:eastAsia="Times New Roman" w:hAnsi="Times New Roman" w:cs="Times New Roman" w:hint="cs"/>
          <w:b/>
          <w:bCs/>
          <w:noProof/>
          <w:sz w:val="44"/>
          <w:szCs w:val="28"/>
          <w:rtl/>
          <w:lang w:bidi="ar-AE"/>
        </w:rPr>
        <w:t>محكمة "محكمة الموضوع: سلط</w:t>
      </w:r>
      <w:r w:rsidR="000113B1">
        <w:rPr>
          <w:rFonts w:ascii="Times New Roman" w:eastAsia="Times New Roman" w:hAnsi="Times New Roman" w:cs="Times New Roman" w:hint="cs"/>
          <w:b/>
          <w:bCs/>
          <w:noProof/>
          <w:sz w:val="44"/>
          <w:szCs w:val="28"/>
          <w:rtl/>
          <w:lang w:bidi="ar-AE"/>
        </w:rPr>
        <w:t xml:space="preserve">تها </w:t>
      </w:r>
      <w:r w:rsidR="00E8295B">
        <w:rPr>
          <w:rFonts w:ascii="Times New Roman" w:eastAsia="Times New Roman" w:hAnsi="Times New Roman" w:cs="Times New Roman" w:hint="cs"/>
          <w:b/>
          <w:bCs/>
          <w:noProof/>
          <w:sz w:val="44"/>
          <w:szCs w:val="28"/>
          <w:rtl/>
          <w:lang w:bidi="ar-AE"/>
        </w:rPr>
        <w:t>في الاستجابة لطلب إحالة الدعوى للتحقيق".</w:t>
      </w:r>
      <w:r w:rsidR="000113B1">
        <w:rPr>
          <w:rFonts w:ascii="Times New Roman" w:eastAsia="Times New Roman" w:hAnsi="Times New Roman" w:cs="Times New Roman" w:hint="cs"/>
          <w:b/>
          <w:bCs/>
          <w:noProof/>
          <w:sz w:val="44"/>
          <w:szCs w:val="28"/>
          <w:rtl/>
          <w:lang w:bidi="ar-AE"/>
        </w:rPr>
        <w:t xml:space="preserve"> دفاع "كيدية الاتهام وتلفيقة من أوجه الدفاع الموضوعية". نقض "أسباب الطعن بالنقض: تعييب الإجراءات السابقة عن المحاكمة لا تصلح سببا للطعن بالنقض".</w:t>
      </w:r>
    </w:p>
    <w:p w14:paraId="63C94FBA" w14:textId="2FCC28CF" w:rsidR="002E60F1" w:rsidRDefault="002E60F1" w:rsidP="002E60F1">
      <w:pPr>
        <w:spacing w:after="0" w:line="360" w:lineRule="auto"/>
        <w:ind w:firstLine="450"/>
        <w:jc w:val="both"/>
        <w:rPr>
          <w:rFonts w:ascii="Times New Roman" w:eastAsia="Times New Roman" w:hAnsi="Times New Roman" w:cs="Times New Roman"/>
          <w:noProof/>
          <w:sz w:val="44"/>
          <w:szCs w:val="28"/>
          <w:rtl/>
          <w:lang w:bidi="ar-AE"/>
        </w:rPr>
      </w:pPr>
      <w:r w:rsidRPr="002E60F1">
        <w:rPr>
          <w:rFonts w:ascii="Times New Roman" w:eastAsia="Times New Roman" w:hAnsi="Times New Roman" w:cs="Times New Roman"/>
          <w:noProof/>
          <w:sz w:val="44"/>
          <w:szCs w:val="28"/>
          <w:rtl/>
        </w:rPr>
        <w:t xml:space="preserve">(1) </w:t>
      </w:r>
      <w:r w:rsidRPr="002E60F1">
        <w:rPr>
          <w:rFonts w:ascii="Times New Roman" w:eastAsia="Times New Roman" w:hAnsi="Times New Roman" w:cs="Times New Roman"/>
          <w:noProof/>
          <w:sz w:val="44"/>
          <w:szCs w:val="28"/>
          <w:rtl/>
          <w:lang w:bidi="ar-AE"/>
        </w:rPr>
        <w:t xml:space="preserve">صياغة الحكم الجزائي </w:t>
      </w:r>
      <w:r>
        <w:rPr>
          <w:rFonts w:ascii="Times New Roman" w:eastAsia="Times New Roman" w:hAnsi="Times New Roman" w:cs="Times New Roman" w:hint="cs"/>
          <w:noProof/>
          <w:sz w:val="44"/>
          <w:szCs w:val="28"/>
          <w:rtl/>
          <w:lang w:bidi="ar-AE"/>
        </w:rPr>
        <w:t>ل</w:t>
      </w:r>
      <w:r w:rsidRPr="002E60F1">
        <w:rPr>
          <w:rFonts w:ascii="Times New Roman" w:eastAsia="Times New Roman" w:hAnsi="Times New Roman" w:cs="Times New Roman"/>
          <w:noProof/>
          <w:sz w:val="44"/>
          <w:szCs w:val="28"/>
          <w:rtl/>
          <w:lang w:bidi="ar-AE"/>
        </w:rPr>
        <w:t xml:space="preserve">لواقعة المستوجبة للعقوبة وظروف وقوعها. لم يرسم له القانون شكلاً </w:t>
      </w:r>
      <w:r>
        <w:rPr>
          <w:rFonts w:ascii="Times New Roman" w:eastAsia="Times New Roman" w:hAnsi="Times New Roman" w:cs="Times New Roman" w:hint="cs"/>
          <w:noProof/>
          <w:sz w:val="44"/>
          <w:szCs w:val="28"/>
          <w:rtl/>
          <w:lang w:bidi="ar-AE"/>
        </w:rPr>
        <w:t>محدداً</w:t>
      </w:r>
      <w:r w:rsidRPr="002E60F1">
        <w:rPr>
          <w:rFonts w:ascii="Times New Roman" w:eastAsia="Times New Roman" w:hAnsi="Times New Roman" w:cs="Times New Roman"/>
          <w:noProof/>
          <w:sz w:val="44"/>
          <w:szCs w:val="28"/>
          <w:rtl/>
          <w:lang w:bidi="ar-AE"/>
        </w:rPr>
        <w:t>. تسبيب</w:t>
      </w:r>
      <w:r>
        <w:rPr>
          <w:rFonts w:ascii="Times New Roman" w:eastAsia="Times New Roman" w:hAnsi="Times New Roman" w:cs="Times New Roman" w:hint="cs"/>
          <w:noProof/>
          <w:sz w:val="44"/>
          <w:szCs w:val="28"/>
          <w:rtl/>
          <w:lang w:bidi="ar-AE"/>
        </w:rPr>
        <w:t>ه</w:t>
      </w:r>
      <w:r w:rsidRPr="002E60F1">
        <w:rPr>
          <w:rFonts w:ascii="Times New Roman" w:eastAsia="Times New Roman" w:hAnsi="Times New Roman" w:cs="Times New Roman"/>
          <w:noProof/>
          <w:sz w:val="44"/>
          <w:szCs w:val="28"/>
          <w:rtl/>
          <w:lang w:bidi="ar-AE"/>
        </w:rPr>
        <w:t xml:space="preserve"> بكفاية لفهم الواقعة بأركانها وظروفها</w:t>
      </w:r>
      <w:r>
        <w:rPr>
          <w:rFonts w:ascii="Times New Roman" w:eastAsia="Times New Roman" w:hAnsi="Times New Roman" w:cs="Times New Roman" w:hint="cs"/>
          <w:noProof/>
          <w:sz w:val="44"/>
          <w:szCs w:val="28"/>
          <w:rtl/>
          <w:lang w:bidi="ar-AE"/>
        </w:rPr>
        <w:t xml:space="preserve"> يحقق حكم القانون. النعي عليه بالقصور في هذه الحالة لا محل له.</w:t>
      </w:r>
    </w:p>
    <w:p w14:paraId="11541134" w14:textId="7DD42B85" w:rsidR="002E60F1" w:rsidRDefault="002E60F1" w:rsidP="002E60F1">
      <w:pPr>
        <w:spacing w:after="0" w:line="360" w:lineRule="auto"/>
        <w:ind w:firstLine="450"/>
        <w:jc w:val="both"/>
        <w:rPr>
          <w:rFonts w:ascii="Times New Roman" w:eastAsia="Times New Roman" w:hAnsi="Times New Roman" w:cs="Times New Roman"/>
          <w:noProof/>
          <w:sz w:val="44"/>
          <w:szCs w:val="28"/>
          <w:rtl/>
          <w:lang w:bidi="ar-AE"/>
        </w:rPr>
      </w:pPr>
      <w:r>
        <w:rPr>
          <w:rFonts w:ascii="Times New Roman" w:eastAsia="Times New Roman" w:hAnsi="Times New Roman" w:cs="Times New Roman" w:hint="cs"/>
          <w:noProof/>
          <w:sz w:val="44"/>
          <w:szCs w:val="28"/>
          <w:rtl/>
          <w:lang w:bidi="ar-AE"/>
        </w:rPr>
        <w:t>(2) يكون الإجراء باطلاً. بالنص عليه صراحة أو إذا شابه عيب لم تتحقق بسببه الغاية من الإجراء.</w:t>
      </w:r>
    </w:p>
    <w:p w14:paraId="2CE6C5DB" w14:textId="77777777" w:rsidR="00E1416D" w:rsidRDefault="002E60F1" w:rsidP="002E60F1">
      <w:pPr>
        <w:spacing w:after="0" w:line="360" w:lineRule="auto"/>
        <w:ind w:firstLine="450"/>
        <w:jc w:val="both"/>
        <w:rPr>
          <w:rFonts w:ascii="Times New Roman" w:eastAsia="Times New Roman" w:hAnsi="Times New Roman" w:cs="Times New Roman"/>
          <w:noProof/>
          <w:sz w:val="44"/>
          <w:szCs w:val="28"/>
          <w:rtl/>
          <w:lang w:bidi="ar-AE"/>
        </w:rPr>
      </w:pPr>
      <w:r>
        <w:rPr>
          <w:rFonts w:ascii="Times New Roman" w:eastAsia="Times New Roman" w:hAnsi="Times New Roman" w:cs="Times New Roman" w:hint="cs"/>
          <w:noProof/>
          <w:sz w:val="44"/>
          <w:szCs w:val="28"/>
          <w:rtl/>
          <w:lang w:bidi="ar-AE"/>
        </w:rPr>
        <w:t xml:space="preserve">(3) </w:t>
      </w:r>
      <w:r w:rsidR="00C9700F">
        <w:rPr>
          <w:rFonts w:ascii="Times New Roman" w:eastAsia="Times New Roman" w:hAnsi="Times New Roman" w:cs="Times New Roman" w:hint="cs"/>
          <w:noProof/>
          <w:sz w:val="44"/>
          <w:szCs w:val="28"/>
          <w:rtl/>
          <w:lang w:bidi="ar-AE"/>
        </w:rPr>
        <w:t xml:space="preserve">الجرائم المقيد تحريكها بشكوى. منصوص عليها على سبيل الحصر ولا تقبل الدعوى فيها بعد مرور ثلاثة أشر من تاريخ على المجني عليه بالجريمة </w:t>
      </w:r>
      <w:r w:rsidR="00E1416D">
        <w:rPr>
          <w:rFonts w:ascii="Times New Roman" w:eastAsia="Times New Roman" w:hAnsi="Times New Roman" w:cs="Times New Roman" w:hint="cs"/>
          <w:noProof/>
          <w:sz w:val="44"/>
          <w:szCs w:val="28"/>
          <w:rtl/>
          <w:lang w:bidi="ar-AE"/>
        </w:rPr>
        <w:t xml:space="preserve">ومرتكبها </w:t>
      </w:r>
      <w:r w:rsidR="00C9700F">
        <w:rPr>
          <w:rFonts w:ascii="Times New Roman" w:eastAsia="Times New Roman" w:hAnsi="Times New Roman" w:cs="Times New Roman" w:hint="cs"/>
          <w:noProof/>
          <w:sz w:val="44"/>
          <w:szCs w:val="28"/>
          <w:rtl/>
          <w:lang w:bidi="ar-AE"/>
        </w:rPr>
        <w:t xml:space="preserve">وهى استثناء على حق النيابة العامة في تحريك الدعوى الجزائية. أساس ذلك. م 11 ق الإجراءات الجزائية. النعي على الحكم المطعون فيه بالخطأ لوجوب القضاء بعدم قبول الدعوى لرفعها بعد الميعاد رغم ثبوت تقديم الشكوى خلال الثلاثة أشهر من علم المجني عليه بالجريمة ومرتكبها. </w:t>
      </w:r>
      <w:r w:rsidR="00E1416D">
        <w:rPr>
          <w:rFonts w:ascii="Times New Roman" w:eastAsia="Times New Roman" w:hAnsi="Times New Roman" w:cs="Times New Roman" w:hint="cs"/>
          <w:noProof/>
          <w:sz w:val="44"/>
          <w:szCs w:val="28"/>
          <w:rtl/>
          <w:lang w:bidi="ar-AE"/>
        </w:rPr>
        <w:t>نعي غير مقبول.</w:t>
      </w:r>
      <w:r w:rsidR="00C9700F">
        <w:rPr>
          <w:rFonts w:ascii="Times New Roman" w:eastAsia="Times New Roman" w:hAnsi="Times New Roman" w:cs="Times New Roman" w:hint="cs"/>
          <w:noProof/>
          <w:sz w:val="44"/>
          <w:szCs w:val="28"/>
          <w:rtl/>
          <w:lang w:bidi="ar-AE"/>
        </w:rPr>
        <w:t xml:space="preserve"> </w:t>
      </w:r>
    </w:p>
    <w:p w14:paraId="6928D92E" w14:textId="7110C54F" w:rsidR="00170EE9" w:rsidRDefault="00170EE9" w:rsidP="002E60F1">
      <w:pPr>
        <w:spacing w:after="0" w:line="360" w:lineRule="auto"/>
        <w:ind w:firstLine="450"/>
        <w:jc w:val="both"/>
        <w:rPr>
          <w:rFonts w:ascii="Times New Roman" w:eastAsia="Times New Roman" w:hAnsi="Times New Roman" w:cs="Times New Roman"/>
          <w:noProof/>
          <w:sz w:val="44"/>
          <w:szCs w:val="28"/>
          <w:rtl/>
          <w:lang w:bidi="ar-AE"/>
        </w:rPr>
      </w:pPr>
      <w:r>
        <w:rPr>
          <w:rFonts w:ascii="Times New Roman" w:eastAsia="Times New Roman" w:hAnsi="Times New Roman" w:cs="Times New Roman" w:hint="cs"/>
          <w:noProof/>
          <w:sz w:val="44"/>
          <w:szCs w:val="28"/>
          <w:rtl/>
          <w:lang w:bidi="ar-AE"/>
        </w:rPr>
        <w:t>(4) تعييب الإجراءات السابقة على المحاكمة ومنها تحقيقات النيابة العامة. لا يصح أن يكون سبباً للنعي أمام المحكمة العليا.</w:t>
      </w:r>
    </w:p>
    <w:p w14:paraId="5E72310B" w14:textId="1496CAA2" w:rsidR="002E60F1" w:rsidRDefault="00E1416D" w:rsidP="00E8295B">
      <w:pPr>
        <w:spacing w:after="0" w:line="360" w:lineRule="auto"/>
        <w:ind w:firstLine="450"/>
        <w:jc w:val="both"/>
        <w:rPr>
          <w:rFonts w:ascii="Times New Roman" w:eastAsia="Times New Roman" w:hAnsi="Times New Roman" w:cs="Times New Roman"/>
          <w:noProof/>
          <w:sz w:val="44"/>
          <w:szCs w:val="28"/>
          <w:rtl/>
          <w:lang w:bidi="ar-AE"/>
        </w:rPr>
      </w:pPr>
      <w:r>
        <w:rPr>
          <w:rFonts w:ascii="Times New Roman" w:eastAsia="Times New Roman" w:hAnsi="Times New Roman" w:cs="Times New Roman" w:hint="cs"/>
          <w:noProof/>
          <w:sz w:val="44"/>
          <w:szCs w:val="28"/>
          <w:rtl/>
          <w:lang w:bidi="ar-AE"/>
        </w:rPr>
        <w:t>(</w:t>
      </w:r>
      <w:r w:rsidR="00170EE9">
        <w:rPr>
          <w:rFonts w:ascii="Times New Roman" w:eastAsia="Times New Roman" w:hAnsi="Times New Roman" w:cs="Times New Roman" w:hint="cs"/>
          <w:noProof/>
          <w:sz w:val="44"/>
          <w:szCs w:val="28"/>
          <w:rtl/>
          <w:lang w:bidi="ar-AE"/>
        </w:rPr>
        <w:t>5</w:t>
      </w:r>
      <w:r>
        <w:rPr>
          <w:rFonts w:ascii="Times New Roman" w:eastAsia="Times New Roman" w:hAnsi="Times New Roman" w:cs="Times New Roman" w:hint="cs"/>
          <w:noProof/>
          <w:sz w:val="44"/>
          <w:szCs w:val="28"/>
          <w:rtl/>
          <w:lang w:bidi="ar-AE"/>
        </w:rPr>
        <w:t>)</w:t>
      </w:r>
      <w:r w:rsidR="00E8295B">
        <w:rPr>
          <w:rFonts w:ascii="Times New Roman" w:eastAsia="Times New Roman" w:hAnsi="Times New Roman" w:cs="Times New Roman" w:hint="cs"/>
          <w:noProof/>
          <w:sz w:val="44"/>
          <w:szCs w:val="28"/>
          <w:rtl/>
          <w:lang w:bidi="ar-AE"/>
        </w:rPr>
        <w:t xml:space="preserve"> طلب</w:t>
      </w:r>
      <w:r w:rsidR="00C9700F">
        <w:rPr>
          <w:rFonts w:ascii="Times New Roman" w:eastAsia="Times New Roman" w:hAnsi="Times New Roman" w:cs="Times New Roman" w:hint="cs"/>
          <w:noProof/>
          <w:sz w:val="44"/>
          <w:szCs w:val="28"/>
          <w:rtl/>
          <w:lang w:bidi="ar-AE"/>
        </w:rPr>
        <w:t xml:space="preserve"> </w:t>
      </w:r>
      <w:r w:rsidR="00E8295B">
        <w:rPr>
          <w:rFonts w:ascii="Times New Roman" w:eastAsia="Times New Roman" w:hAnsi="Times New Roman" w:cs="Times New Roman" w:hint="cs"/>
          <w:noProof/>
          <w:sz w:val="44"/>
          <w:szCs w:val="28"/>
          <w:rtl/>
          <w:lang w:bidi="ar-AE"/>
        </w:rPr>
        <w:t xml:space="preserve">إحالة الدعوى للتحقيق. </w:t>
      </w:r>
      <w:r w:rsidR="00170EE9">
        <w:rPr>
          <w:rFonts w:ascii="Times New Roman" w:eastAsia="Times New Roman" w:hAnsi="Times New Roman" w:cs="Times New Roman" w:hint="cs"/>
          <w:noProof/>
          <w:sz w:val="44"/>
          <w:szCs w:val="28"/>
          <w:rtl/>
          <w:lang w:bidi="ar-AE"/>
        </w:rPr>
        <w:t>خاضع</w:t>
      </w:r>
      <w:r w:rsidR="00E8295B">
        <w:rPr>
          <w:rFonts w:ascii="Times New Roman" w:eastAsia="Times New Roman" w:hAnsi="Times New Roman" w:cs="Times New Roman" w:hint="cs"/>
          <w:noProof/>
          <w:sz w:val="44"/>
          <w:szCs w:val="28"/>
          <w:rtl/>
          <w:lang w:bidi="ar-AE"/>
        </w:rPr>
        <w:t xml:space="preserve"> لتقدير محكمة الموضوع. النعي </w:t>
      </w:r>
      <w:r w:rsidR="00170EE9">
        <w:rPr>
          <w:rFonts w:ascii="Times New Roman" w:eastAsia="Times New Roman" w:hAnsi="Times New Roman" w:cs="Times New Roman" w:hint="cs"/>
          <w:noProof/>
          <w:sz w:val="28"/>
          <w:szCs w:val="28"/>
          <w:rtl/>
          <w:lang w:bidi="ar-AE"/>
        </w:rPr>
        <w:t>با</w:t>
      </w:r>
      <w:r w:rsidR="00E8295B">
        <w:rPr>
          <w:rFonts w:ascii="Times New Roman" w:eastAsia="Times New Roman" w:hAnsi="Times New Roman" w:cs="Times New Roman" w:hint="cs"/>
          <w:noProof/>
          <w:sz w:val="28"/>
          <w:szCs w:val="28"/>
          <w:rtl/>
          <w:lang w:bidi="ar-AE"/>
        </w:rPr>
        <w:t xml:space="preserve">لتفات </w:t>
      </w:r>
      <w:r w:rsidR="00E8295B" w:rsidRPr="00E8295B">
        <w:rPr>
          <w:rFonts w:ascii="Times New Roman" w:eastAsia="Times New Roman" w:hAnsi="Times New Roman" w:cs="Times New Roman" w:hint="cs"/>
          <w:noProof/>
          <w:sz w:val="28"/>
          <w:szCs w:val="28"/>
          <w:rtl/>
          <w:lang w:bidi="ar-AE"/>
        </w:rPr>
        <w:t xml:space="preserve">الحكم </w:t>
      </w:r>
      <w:r w:rsidR="00E8295B">
        <w:rPr>
          <w:rFonts w:ascii="Times New Roman" w:eastAsia="Times New Roman" w:hAnsi="Times New Roman" w:cs="Times New Roman" w:hint="cs"/>
          <w:noProof/>
          <w:sz w:val="28"/>
          <w:szCs w:val="28"/>
          <w:rtl/>
          <w:lang w:bidi="ar-AE"/>
        </w:rPr>
        <w:t xml:space="preserve">المطعون فيه عن </w:t>
      </w:r>
      <w:r w:rsidR="00E8295B">
        <w:rPr>
          <w:rFonts w:ascii="Times New Roman" w:eastAsia="Times New Roman" w:hAnsi="Times New Roman" w:cs="Times New Roman" w:hint="cs"/>
          <w:noProof/>
          <w:sz w:val="44"/>
          <w:szCs w:val="28"/>
          <w:rtl/>
          <w:lang w:bidi="ar-AE"/>
        </w:rPr>
        <w:t xml:space="preserve">الاستجابة لطلب </w:t>
      </w:r>
      <w:r w:rsidR="00170EE9">
        <w:rPr>
          <w:rFonts w:ascii="Times New Roman" w:eastAsia="Times New Roman" w:hAnsi="Times New Roman" w:cs="Times New Roman" w:hint="cs"/>
          <w:noProof/>
          <w:sz w:val="44"/>
          <w:szCs w:val="28"/>
          <w:rtl/>
          <w:lang w:bidi="ar-AE"/>
        </w:rPr>
        <w:t>استدعاء المجني عليها وسؤالها عن تاريخ رسائل السب</w:t>
      </w:r>
      <w:r w:rsidR="00E8295B">
        <w:rPr>
          <w:rFonts w:ascii="Times New Roman" w:eastAsia="Times New Roman" w:hAnsi="Times New Roman" w:cs="Times New Roman" w:hint="cs"/>
          <w:noProof/>
          <w:sz w:val="44"/>
          <w:szCs w:val="28"/>
          <w:rtl/>
          <w:lang w:bidi="ar-AE"/>
        </w:rPr>
        <w:t xml:space="preserve">. </w:t>
      </w:r>
      <w:r w:rsidR="00170EE9">
        <w:rPr>
          <w:rFonts w:ascii="Times New Roman" w:eastAsia="Times New Roman" w:hAnsi="Times New Roman" w:cs="Times New Roman" w:hint="cs"/>
          <w:noProof/>
          <w:sz w:val="44"/>
          <w:szCs w:val="28"/>
          <w:rtl/>
          <w:lang w:bidi="ar-AE"/>
        </w:rPr>
        <w:t>غير قويم.</w:t>
      </w:r>
    </w:p>
    <w:p w14:paraId="28C8ED14" w14:textId="114A9B46" w:rsidR="00170EE9" w:rsidRDefault="00170EE9" w:rsidP="00E8295B">
      <w:pPr>
        <w:spacing w:after="0" w:line="360" w:lineRule="auto"/>
        <w:ind w:firstLine="450"/>
        <w:jc w:val="both"/>
        <w:rPr>
          <w:rFonts w:ascii="Times New Roman" w:eastAsia="Times New Roman" w:hAnsi="Times New Roman" w:cs="Times New Roman"/>
          <w:noProof/>
          <w:sz w:val="44"/>
          <w:szCs w:val="28"/>
          <w:rtl/>
          <w:lang w:bidi="ar-AE"/>
        </w:rPr>
      </w:pPr>
      <w:r>
        <w:rPr>
          <w:rFonts w:ascii="Times New Roman" w:eastAsia="Times New Roman" w:hAnsi="Times New Roman" w:cs="Times New Roman" w:hint="cs"/>
          <w:noProof/>
          <w:sz w:val="44"/>
          <w:szCs w:val="28"/>
          <w:rtl/>
          <w:lang w:bidi="ar-AE"/>
        </w:rPr>
        <w:t>(6) كيدية الاتهام وتلفيقه. من أوجه الدفاع الموضوعية التي لا تستوجب رداً صريحاً. النعي على الحكم بشأن ذلك. غير مقبول.</w:t>
      </w:r>
    </w:p>
    <w:p w14:paraId="352A628C" w14:textId="5CD0CEE7" w:rsidR="00A536B0" w:rsidRPr="00A536B0" w:rsidRDefault="00A536B0" w:rsidP="00170EE9">
      <w:pPr>
        <w:spacing w:after="0" w:line="360" w:lineRule="auto"/>
        <w:jc w:val="center"/>
        <w:rPr>
          <w:rFonts w:ascii="Times New Roman" w:eastAsia="Times New Roman" w:hAnsi="Times New Roman" w:cs="Times New Roman"/>
          <w:b/>
          <w:bCs/>
          <w:noProof/>
          <w:sz w:val="44"/>
          <w:szCs w:val="28"/>
          <w:rtl/>
        </w:rPr>
      </w:pPr>
      <w:r w:rsidRPr="00A536B0">
        <w:rPr>
          <w:rFonts w:ascii="Times New Roman" w:eastAsia="Times New Roman" w:hAnsi="Times New Roman" w:cs="Times New Roman"/>
          <w:b/>
          <w:bCs/>
          <w:noProof/>
          <w:sz w:val="44"/>
          <w:szCs w:val="28"/>
          <w:rtl/>
        </w:rPr>
        <w:t xml:space="preserve">(الطعن رقم </w:t>
      </w:r>
      <w:r w:rsidR="00451FA3">
        <w:rPr>
          <w:rFonts w:ascii="Times New Roman" w:eastAsia="Times New Roman" w:hAnsi="Times New Roman" w:cs="Times New Roman" w:hint="cs"/>
          <w:b/>
          <w:bCs/>
          <w:noProof/>
          <w:sz w:val="44"/>
          <w:szCs w:val="28"/>
          <w:rtl/>
        </w:rPr>
        <w:t>1515</w:t>
      </w:r>
      <w:r w:rsidRPr="00A536B0">
        <w:rPr>
          <w:rFonts w:ascii="Times New Roman" w:eastAsia="Times New Roman" w:hAnsi="Times New Roman" w:cs="Times New Roman"/>
          <w:b/>
          <w:bCs/>
          <w:noProof/>
          <w:sz w:val="44"/>
          <w:szCs w:val="28"/>
          <w:rtl/>
        </w:rPr>
        <w:t xml:space="preserve"> لسنة </w:t>
      </w:r>
      <w:r w:rsidR="00451FA3">
        <w:rPr>
          <w:rFonts w:ascii="Times New Roman" w:eastAsia="Times New Roman" w:hAnsi="Times New Roman" w:cs="Times New Roman" w:hint="cs"/>
          <w:b/>
          <w:bCs/>
          <w:noProof/>
          <w:sz w:val="44"/>
          <w:szCs w:val="28"/>
          <w:rtl/>
        </w:rPr>
        <w:t>2024</w:t>
      </w:r>
      <w:r w:rsidRPr="00451FA3">
        <w:rPr>
          <w:rFonts w:ascii="Times New Roman" w:eastAsia="Times New Roman" w:hAnsi="Times New Roman" w:cs="Times New Roman"/>
          <w:b/>
          <w:bCs/>
          <w:noProof/>
          <w:sz w:val="44"/>
          <w:szCs w:val="28"/>
          <w:rtl/>
        </w:rPr>
        <w:t xml:space="preserve"> </w:t>
      </w:r>
      <w:r w:rsidRPr="00A536B0">
        <w:rPr>
          <w:rFonts w:ascii="Times New Roman" w:eastAsia="Times New Roman" w:hAnsi="Times New Roman" w:cs="Times New Roman"/>
          <w:b/>
          <w:bCs/>
          <w:noProof/>
          <w:sz w:val="44"/>
          <w:szCs w:val="28"/>
          <w:rtl/>
        </w:rPr>
        <w:t>جزائي، جلسة 16/7/2025)</w:t>
      </w:r>
    </w:p>
    <w:p w14:paraId="36135B85" w14:textId="77777777" w:rsidR="00A536B0" w:rsidRPr="00A536B0" w:rsidRDefault="00A536B0" w:rsidP="00A536B0">
      <w:pPr>
        <w:tabs>
          <w:tab w:val="left" w:pos="33"/>
        </w:tabs>
        <w:spacing w:after="0" w:line="360" w:lineRule="auto"/>
        <w:jc w:val="center"/>
        <w:rPr>
          <w:rFonts w:ascii="Times New Roman" w:eastAsia="Times New Roman" w:hAnsi="Times New Roman" w:cs="Times New Roman"/>
          <w:b/>
          <w:bCs/>
          <w:noProof/>
          <w:sz w:val="48"/>
          <w:szCs w:val="32"/>
          <w:rtl/>
        </w:rPr>
      </w:pPr>
      <w:bookmarkStart w:id="0" w:name="_Hlk118184850"/>
      <w:r w:rsidRPr="00A536B0">
        <w:rPr>
          <w:rFonts w:ascii="Times New Roman" w:eastAsia="Times New Roman" w:hAnsi="Times New Roman" w:cs="Times New Roman"/>
          <w:b/>
          <w:bCs/>
          <w:noProof/>
          <w:sz w:val="48"/>
          <w:szCs w:val="32"/>
          <w:rtl/>
        </w:rPr>
        <w:t>ـــــــــــــــــــــــــــــــــــ</w:t>
      </w:r>
    </w:p>
    <w:bookmarkEnd w:id="0"/>
    <w:p w14:paraId="6C49831E" w14:textId="77777777" w:rsidR="00F85C82" w:rsidRDefault="00F85C82" w:rsidP="00F85C82">
      <w:pPr>
        <w:spacing w:after="0" w:line="360" w:lineRule="auto"/>
        <w:ind w:firstLine="429"/>
        <w:jc w:val="both"/>
        <w:rPr>
          <w:rFonts w:ascii="Times New Roman" w:eastAsia="Times New Roman" w:hAnsi="Times New Roman" w:cs="Times New Roman"/>
          <w:b/>
          <w:bCs/>
          <w:sz w:val="28"/>
          <w:szCs w:val="28"/>
          <w:rtl/>
          <w:lang w:eastAsia="ar-SA" w:bidi="ar-AE"/>
        </w:rPr>
      </w:pPr>
      <w:r>
        <w:rPr>
          <w:rFonts w:ascii="Times New Roman" w:eastAsia="Times New Roman" w:hAnsi="Times New Roman" w:cs="Times New Roman" w:hint="cs"/>
          <w:b/>
          <w:bCs/>
          <w:sz w:val="28"/>
          <w:szCs w:val="28"/>
          <w:rtl/>
          <w:lang w:eastAsia="ar-SA"/>
        </w:rPr>
        <w:lastRenderedPageBreak/>
        <w:t xml:space="preserve">1- </w:t>
      </w:r>
      <w:r w:rsidRPr="00F85C82">
        <w:rPr>
          <w:rFonts w:ascii="Times New Roman" w:eastAsia="Times New Roman" w:hAnsi="Times New Roman" w:cs="Times New Roman"/>
          <w:b/>
          <w:bCs/>
          <w:sz w:val="28"/>
          <w:szCs w:val="28"/>
          <w:rtl/>
          <w:lang w:eastAsia="ar-SA"/>
        </w:rPr>
        <w:t>المقرر أن القانون لم يرسم شكلاً يصوغ فيه الحكم بيان الواقعة المستوجبة للعقوبة والظروف التي وقعت فيها ومتى كان مجموع ما أورده الحكم كافياً في تفهم الواقعة بأركانها وظروفها حسبما استخلصتها المحكمة - كما هو الحال في الدعوى الراهنة - كان ذلك محققاً لحكم القانون، ومن ثم فإن ما ينعاه الطاعن على الحكم من قصور يكون لا محل له</w:t>
      </w:r>
      <w:r w:rsidRPr="00F85C82">
        <w:rPr>
          <w:rFonts w:ascii="Times New Roman" w:eastAsia="Times New Roman" w:hAnsi="Times New Roman" w:cs="Times New Roman"/>
          <w:b/>
          <w:bCs/>
          <w:sz w:val="28"/>
          <w:szCs w:val="28"/>
          <w:lang w:eastAsia="ar-SA" w:bidi="ar-AE"/>
        </w:rPr>
        <w:t>.</w:t>
      </w:r>
    </w:p>
    <w:p w14:paraId="6D557A82" w14:textId="77777777" w:rsidR="00F85C82" w:rsidRDefault="00F85C82" w:rsidP="00F85C82">
      <w:pPr>
        <w:spacing w:after="0" w:line="36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bidi="ar-AE"/>
        </w:rPr>
        <w:t>2-</w:t>
      </w:r>
      <w:r w:rsidRPr="00F85C82">
        <w:rPr>
          <w:rFonts w:ascii="Times New Roman" w:eastAsia="Times New Roman" w:hAnsi="Times New Roman" w:cs="Times New Roman"/>
          <w:b/>
          <w:bCs/>
          <w:sz w:val="28"/>
          <w:szCs w:val="28"/>
          <w:rtl/>
          <w:lang w:eastAsia="ar-SA"/>
        </w:rPr>
        <w:t xml:space="preserve"> المقرر وعلى ما جرى </w:t>
      </w:r>
      <w:r w:rsidRPr="00F85C82">
        <w:rPr>
          <w:rFonts w:ascii="Times New Roman" w:eastAsia="Times New Roman" w:hAnsi="Times New Roman" w:cs="Times New Roman" w:hint="cs"/>
          <w:b/>
          <w:bCs/>
          <w:sz w:val="28"/>
          <w:szCs w:val="28"/>
          <w:rtl/>
          <w:lang w:eastAsia="ar-SA"/>
        </w:rPr>
        <w:t xml:space="preserve">عليه </w:t>
      </w:r>
      <w:r w:rsidRPr="00F85C82">
        <w:rPr>
          <w:rFonts w:ascii="Times New Roman" w:eastAsia="Times New Roman" w:hAnsi="Times New Roman" w:cs="Times New Roman"/>
          <w:b/>
          <w:bCs/>
          <w:sz w:val="28"/>
          <w:szCs w:val="28"/>
          <w:rtl/>
          <w:lang w:eastAsia="ar-SA"/>
        </w:rPr>
        <w:t xml:space="preserve">نص المادة </w:t>
      </w:r>
      <w:r>
        <w:rPr>
          <w:rFonts w:ascii="Times New Roman" w:eastAsia="Times New Roman" w:hAnsi="Times New Roman" w:cs="Times New Roman" w:hint="cs"/>
          <w:b/>
          <w:bCs/>
          <w:sz w:val="28"/>
          <w:szCs w:val="28"/>
          <w:rtl/>
          <w:lang w:eastAsia="ar-SA"/>
        </w:rPr>
        <w:t>(221)</w:t>
      </w:r>
      <w:r w:rsidRPr="00F85C82">
        <w:rPr>
          <w:rFonts w:ascii="Times New Roman" w:eastAsia="Times New Roman" w:hAnsi="Times New Roman" w:cs="Times New Roman"/>
          <w:b/>
          <w:bCs/>
          <w:sz w:val="28"/>
          <w:szCs w:val="28"/>
          <w:rtl/>
          <w:lang w:eastAsia="ar-SA"/>
        </w:rPr>
        <w:t xml:space="preserve"> من قانون الإجراءات الجزائية</w:t>
      </w:r>
      <w:r>
        <w:rPr>
          <w:rFonts w:ascii="Times New Roman" w:eastAsia="Times New Roman" w:hAnsi="Times New Roman" w:cs="Times New Roman" w:hint="cs"/>
          <w:b/>
          <w:bCs/>
          <w:sz w:val="28"/>
          <w:szCs w:val="28"/>
          <w:rtl/>
          <w:lang w:eastAsia="ar-SA"/>
        </w:rPr>
        <w:t xml:space="preserve"> أنه</w:t>
      </w:r>
      <w:r w:rsidRPr="00F85C82">
        <w:rPr>
          <w:rFonts w:ascii="Times New Roman" w:eastAsia="Times New Roman" w:hAnsi="Times New Roman" w:cs="Times New Roman"/>
          <w:b/>
          <w:bCs/>
          <w:sz w:val="28"/>
          <w:szCs w:val="28"/>
          <w:rtl/>
          <w:lang w:eastAsia="ar-SA"/>
        </w:rPr>
        <w:t xml:space="preserve"> "يكون الإجراء باطلاً إذا نص القانون صراحة على بطلانه أو إذا شابه عيب لم تتحقق بسببه الغاية من الإجراء"</w:t>
      </w:r>
      <w:r>
        <w:rPr>
          <w:rFonts w:ascii="Times New Roman" w:eastAsia="Times New Roman" w:hAnsi="Times New Roman" w:cs="Times New Roman" w:hint="cs"/>
          <w:b/>
          <w:bCs/>
          <w:sz w:val="28"/>
          <w:szCs w:val="28"/>
          <w:rtl/>
          <w:lang w:eastAsia="ar-SA"/>
        </w:rPr>
        <w:t>.</w:t>
      </w:r>
    </w:p>
    <w:p w14:paraId="6C07A6D7" w14:textId="38A119E3" w:rsidR="00F85C82" w:rsidRDefault="00F85C82" w:rsidP="00F85C82">
      <w:pPr>
        <w:spacing w:after="0" w:line="36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 xml:space="preserve">3- المقرر أن نص المادة (11) من قانون الإجراءات الجزائية قد </w:t>
      </w:r>
      <w:r w:rsidRPr="00F85C82">
        <w:rPr>
          <w:rFonts w:ascii="Times New Roman" w:eastAsia="Times New Roman" w:hAnsi="Times New Roman" w:cs="Times New Roman"/>
          <w:b/>
          <w:bCs/>
          <w:sz w:val="28"/>
          <w:szCs w:val="28"/>
          <w:rtl/>
          <w:lang w:eastAsia="ar-SA"/>
        </w:rPr>
        <w:t xml:space="preserve">جرى على أنه "لا يجوز أن ترفع الدعوى الجزائية في الجرائم التالية إلا بناء على شكوى تقدم من المجني عليه أو من يقوم مقامه أو من وكيله الخاص:- 1- السرقة والاحتيال -- 2- عدم تسليم الصغير -- 3- الامتناع عن أداء النفقة -- 4- سب الأشخاص وقذفهم -- 5- الجرائم الأخرى التي ينص عليها القانون. ولا تقبل </w:t>
      </w:r>
      <w:r w:rsidRPr="00F85C82">
        <w:rPr>
          <w:rFonts w:ascii="Times New Roman" w:eastAsia="Times New Roman" w:hAnsi="Times New Roman" w:cs="Times New Roman" w:hint="cs"/>
          <w:b/>
          <w:bCs/>
          <w:sz w:val="28"/>
          <w:szCs w:val="28"/>
          <w:rtl/>
          <w:lang w:eastAsia="ar-SA"/>
        </w:rPr>
        <w:t>الشكوى</w:t>
      </w:r>
      <w:r w:rsidRPr="00F85C82">
        <w:rPr>
          <w:rFonts w:ascii="Times New Roman" w:eastAsia="Times New Roman" w:hAnsi="Times New Roman" w:cs="Times New Roman"/>
          <w:b/>
          <w:bCs/>
          <w:sz w:val="28"/>
          <w:szCs w:val="28"/>
          <w:rtl/>
          <w:lang w:eastAsia="ar-SA"/>
        </w:rPr>
        <w:t xml:space="preserve"> بعد (3) ثلاثة اشهر من يوم علم المجنى عليه بالجريمة ومرتكبها ما لم ينص القانون على خلاف ذلك"</w:t>
      </w:r>
      <w:r>
        <w:rPr>
          <w:rFonts w:ascii="Times New Roman" w:eastAsia="Times New Roman" w:hAnsi="Times New Roman" w:cs="Times New Roman" w:hint="cs"/>
          <w:b/>
          <w:bCs/>
          <w:sz w:val="28"/>
          <w:szCs w:val="28"/>
          <w:rtl/>
          <w:lang w:eastAsia="ar-SA"/>
        </w:rPr>
        <w:t>،</w:t>
      </w:r>
      <w:r w:rsidRPr="00F85C82">
        <w:rPr>
          <w:rFonts w:ascii="Times New Roman" w:eastAsia="Times New Roman" w:hAnsi="Times New Roman" w:cs="Times New Roman"/>
          <w:b/>
          <w:bCs/>
          <w:sz w:val="28"/>
          <w:szCs w:val="28"/>
          <w:rtl/>
          <w:lang w:eastAsia="ar-SA"/>
        </w:rPr>
        <w:t xml:space="preserve"> </w:t>
      </w:r>
      <w:bookmarkStart w:id="1" w:name="_Hlk211936166"/>
      <w:r w:rsidRPr="00F85C82">
        <w:rPr>
          <w:rFonts w:ascii="Times New Roman" w:eastAsia="Times New Roman" w:hAnsi="Times New Roman" w:cs="Times New Roman"/>
          <w:b/>
          <w:bCs/>
          <w:sz w:val="28"/>
          <w:szCs w:val="28"/>
          <w:rtl/>
          <w:lang w:eastAsia="ar-SA"/>
        </w:rPr>
        <w:t>بما مؤداه أن المشرع اشترط ورود الجرائم المقيدة تحريكها بشكوى أن ينص عليها القانون وهو استثناء من الأصل العام لتحريك الدعاوى الجزائية التي جعل القانون للنيابة العامة حق تحريكها دون شكوى</w:t>
      </w:r>
      <w:r w:rsidRPr="00F85C82">
        <w:rPr>
          <w:rFonts w:ascii="Times New Roman" w:eastAsia="Times New Roman" w:hAnsi="Times New Roman" w:cs="Times New Roman"/>
          <w:b/>
          <w:bCs/>
          <w:sz w:val="28"/>
          <w:szCs w:val="28"/>
          <w:rtl/>
          <w:lang w:eastAsia="ar-SA" w:bidi="ar-AE"/>
        </w:rPr>
        <w:t xml:space="preserve">، كما اشترط لقبول </w:t>
      </w:r>
      <w:r w:rsidRPr="00F85C82">
        <w:rPr>
          <w:rFonts w:ascii="Times New Roman" w:eastAsia="Times New Roman" w:hAnsi="Times New Roman" w:cs="Times New Roman" w:hint="cs"/>
          <w:b/>
          <w:bCs/>
          <w:sz w:val="28"/>
          <w:szCs w:val="28"/>
          <w:rtl/>
          <w:lang w:eastAsia="ar-SA" w:bidi="ar-AE"/>
        </w:rPr>
        <w:t>الشكوى</w:t>
      </w:r>
      <w:r w:rsidRPr="00F85C82">
        <w:rPr>
          <w:rFonts w:ascii="Times New Roman" w:eastAsia="Times New Roman" w:hAnsi="Times New Roman" w:cs="Times New Roman"/>
          <w:b/>
          <w:bCs/>
          <w:sz w:val="28"/>
          <w:szCs w:val="28"/>
          <w:rtl/>
          <w:lang w:eastAsia="ar-SA" w:bidi="ar-AE"/>
        </w:rPr>
        <w:t xml:space="preserve"> عدم مرور ثلاثة أشهر </w:t>
      </w:r>
      <w:r w:rsidRPr="00F85C82">
        <w:rPr>
          <w:rFonts w:ascii="Times New Roman" w:eastAsia="Times New Roman" w:hAnsi="Times New Roman" w:cs="Times New Roman"/>
          <w:b/>
          <w:bCs/>
          <w:sz w:val="28"/>
          <w:szCs w:val="28"/>
          <w:rtl/>
          <w:lang w:eastAsia="ar-SA"/>
        </w:rPr>
        <w:t>من يوم علم المجنى عليه بالجريمة ومرتكبها ما لم ينص على خلاف ذلك</w:t>
      </w:r>
      <w:r w:rsidRPr="00F85C82">
        <w:rPr>
          <w:rFonts w:ascii="Times New Roman" w:eastAsia="Times New Roman" w:hAnsi="Times New Roman" w:cs="Times New Roman"/>
          <w:b/>
          <w:bCs/>
          <w:sz w:val="28"/>
          <w:szCs w:val="28"/>
          <w:rtl/>
          <w:lang w:eastAsia="ar-SA" w:bidi="ar-AE"/>
        </w:rPr>
        <w:t xml:space="preserve">، </w:t>
      </w:r>
      <w:r w:rsidRPr="00F85C82">
        <w:rPr>
          <w:rFonts w:ascii="Times New Roman" w:eastAsia="Times New Roman" w:hAnsi="Times New Roman" w:cs="Times New Roman"/>
          <w:b/>
          <w:bCs/>
          <w:sz w:val="28"/>
          <w:szCs w:val="28"/>
          <w:rtl/>
          <w:lang w:eastAsia="ar-SA"/>
        </w:rPr>
        <w:t xml:space="preserve">وكان الثابت من الاطلاع على الحكم المطعون فيه أن واقعة </w:t>
      </w:r>
      <w:r w:rsidRPr="00F85C82">
        <w:rPr>
          <w:rFonts w:ascii="Times New Roman" w:eastAsia="Times New Roman" w:hAnsi="Times New Roman" w:cs="Times New Roman" w:hint="cs"/>
          <w:b/>
          <w:bCs/>
          <w:sz w:val="28"/>
          <w:szCs w:val="28"/>
          <w:rtl/>
          <w:lang w:eastAsia="ar-SA"/>
        </w:rPr>
        <w:t xml:space="preserve">السب التي ارتكبها الطاعن في حق المجني عليها </w:t>
      </w:r>
      <w:r w:rsidRPr="00F85C82">
        <w:rPr>
          <w:rFonts w:ascii="Times New Roman" w:eastAsia="Times New Roman" w:hAnsi="Times New Roman" w:cs="Times New Roman"/>
          <w:b/>
          <w:bCs/>
          <w:sz w:val="28"/>
          <w:szCs w:val="28"/>
          <w:rtl/>
          <w:lang w:eastAsia="ar-SA"/>
        </w:rPr>
        <w:t>حدثت في شهر فبراير 2024 وان</w:t>
      </w:r>
      <w:r w:rsidRPr="00F85C82">
        <w:rPr>
          <w:rFonts w:ascii="Times New Roman" w:eastAsia="Times New Roman" w:hAnsi="Times New Roman" w:cs="Times New Roman" w:hint="cs"/>
          <w:b/>
          <w:bCs/>
          <w:sz w:val="28"/>
          <w:szCs w:val="28"/>
          <w:rtl/>
          <w:lang w:eastAsia="ar-SA"/>
        </w:rPr>
        <w:t>ها تقدمت</w:t>
      </w:r>
      <w:r w:rsidRPr="00F85C82">
        <w:rPr>
          <w:rFonts w:ascii="Times New Roman" w:eastAsia="Times New Roman" w:hAnsi="Times New Roman" w:cs="Times New Roman"/>
          <w:b/>
          <w:bCs/>
          <w:sz w:val="28"/>
          <w:szCs w:val="28"/>
          <w:rtl/>
          <w:lang w:eastAsia="ar-SA"/>
        </w:rPr>
        <w:t xml:space="preserve"> </w:t>
      </w:r>
      <w:r w:rsidRPr="00F85C82">
        <w:rPr>
          <w:rFonts w:ascii="Times New Roman" w:eastAsia="Times New Roman" w:hAnsi="Times New Roman" w:cs="Times New Roman" w:hint="cs"/>
          <w:b/>
          <w:bCs/>
          <w:sz w:val="28"/>
          <w:szCs w:val="28"/>
          <w:rtl/>
          <w:lang w:eastAsia="ar-SA"/>
        </w:rPr>
        <w:t>ب</w:t>
      </w:r>
      <w:r w:rsidRPr="00F85C82">
        <w:rPr>
          <w:rFonts w:ascii="Times New Roman" w:eastAsia="Times New Roman" w:hAnsi="Times New Roman" w:cs="Times New Roman"/>
          <w:b/>
          <w:bCs/>
          <w:sz w:val="28"/>
          <w:szCs w:val="28"/>
          <w:rtl/>
          <w:lang w:eastAsia="ar-SA"/>
        </w:rPr>
        <w:t xml:space="preserve">شكواها </w:t>
      </w:r>
      <w:r w:rsidRPr="00F85C82">
        <w:rPr>
          <w:rFonts w:ascii="Times New Roman" w:eastAsia="Times New Roman" w:hAnsi="Times New Roman" w:cs="Times New Roman" w:hint="cs"/>
          <w:b/>
          <w:bCs/>
          <w:sz w:val="28"/>
          <w:szCs w:val="28"/>
          <w:rtl/>
          <w:lang w:eastAsia="ar-SA"/>
        </w:rPr>
        <w:t>و</w:t>
      </w:r>
      <w:r w:rsidRPr="00F85C82">
        <w:rPr>
          <w:rFonts w:ascii="Times New Roman" w:eastAsia="Times New Roman" w:hAnsi="Times New Roman" w:cs="Times New Roman"/>
          <w:b/>
          <w:bCs/>
          <w:sz w:val="28"/>
          <w:szCs w:val="28"/>
          <w:rtl/>
          <w:lang w:eastAsia="ar-SA"/>
        </w:rPr>
        <w:t xml:space="preserve">قيدت بتاريخ 23/4/2024 حسبما هو ثابت بالعريضة المقدمة منها والتي تحمل رقم 1234 لسنة 2024 عرائض ولم يمضى ثلاثة اشهر من تاريخ علمها بالواقعة حتى تقديم شكواها، ومن ثم يكون ما ينعاه الطاعن على  الحكم في هذا الصدد غير </w:t>
      </w:r>
      <w:r w:rsidRPr="00F85C82">
        <w:rPr>
          <w:rFonts w:ascii="Times New Roman" w:eastAsia="Times New Roman" w:hAnsi="Times New Roman" w:cs="Times New Roman" w:hint="cs"/>
          <w:b/>
          <w:bCs/>
          <w:sz w:val="28"/>
          <w:szCs w:val="28"/>
          <w:rtl/>
          <w:lang w:eastAsia="ar-SA"/>
        </w:rPr>
        <w:t>مقبول</w:t>
      </w:r>
      <w:r w:rsidRPr="00F85C82">
        <w:rPr>
          <w:rFonts w:ascii="Times New Roman" w:eastAsia="Times New Roman" w:hAnsi="Times New Roman" w:cs="Times New Roman"/>
          <w:b/>
          <w:bCs/>
          <w:sz w:val="28"/>
          <w:szCs w:val="28"/>
          <w:rtl/>
          <w:lang w:eastAsia="ar-SA"/>
        </w:rPr>
        <w:t>.</w:t>
      </w:r>
    </w:p>
    <w:p w14:paraId="037A3A2A" w14:textId="69EEC4B4" w:rsidR="00170EE9" w:rsidRDefault="00E8295B" w:rsidP="00170EE9">
      <w:pPr>
        <w:spacing w:after="0" w:line="36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 xml:space="preserve">4- </w:t>
      </w:r>
      <w:r w:rsidRPr="00E8295B">
        <w:rPr>
          <w:rFonts w:ascii="Times New Roman" w:eastAsia="Times New Roman" w:hAnsi="Times New Roman" w:cs="Times New Roman"/>
          <w:b/>
          <w:bCs/>
          <w:sz w:val="28"/>
          <w:szCs w:val="28"/>
          <w:rtl/>
          <w:lang w:eastAsia="ar-SA"/>
        </w:rPr>
        <w:t>لما كان ذلك، وكان ما يثيره الطاعن بشأن قصور تحقيقات النيابة العامة لعدم سؤال المجني عليها عن تاريخ ارسال رسائل السب لا يعدو أن يكون تعييبا للإجراءات السابقة على المحاكمة مما لا يصح أن يكون سببا للنعي على الحكم.</w:t>
      </w:r>
    </w:p>
    <w:p w14:paraId="21F49AF4" w14:textId="75DF1275" w:rsidR="00E8295B" w:rsidRDefault="00170EE9" w:rsidP="00E8295B">
      <w:pPr>
        <w:spacing w:after="0" w:line="36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5-</w:t>
      </w:r>
      <w:r w:rsidR="00E8295B" w:rsidRPr="00E8295B">
        <w:rPr>
          <w:rFonts w:ascii="Times New Roman" w:eastAsia="Times New Roman" w:hAnsi="Times New Roman" w:cs="Times New Roman"/>
          <w:b/>
          <w:bCs/>
          <w:sz w:val="28"/>
          <w:szCs w:val="28"/>
          <w:rtl/>
          <w:lang w:eastAsia="ar-SA"/>
        </w:rPr>
        <w:t xml:space="preserve"> لما كان ذلك، وكان من المقرر أن إحالة الدعوي للتحقيق ليس حقاً للخصوم يتعين على المحكمة إقراره كلما طلب منها ذلك، بل هو خاضع لسلطتها التقديرية، ولها ألا تأمر به متى رأت أن أوراق الدعوى وعناصرها كافية لتكوين عقيدتها أو أن هذا الإجراء غير منتج في الدعوى، فإن ما يثيره الطاعن بشأن التفات المحكمة عن طلبه </w:t>
      </w:r>
      <w:r w:rsidR="00E8295B" w:rsidRPr="00E8295B">
        <w:rPr>
          <w:rFonts w:ascii="Times New Roman" w:eastAsia="Times New Roman" w:hAnsi="Times New Roman" w:cs="Times New Roman"/>
          <w:b/>
          <w:bCs/>
          <w:sz w:val="28"/>
          <w:szCs w:val="28"/>
          <w:rtl/>
          <w:lang w:eastAsia="ar-SA" w:bidi="ar-AE"/>
        </w:rPr>
        <w:t xml:space="preserve">باستدعاء </w:t>
      </w:r>
      <w:r w:rsidR="00E8295B" w:rsidRPr="00E8295B">
        <w:rPr>
          <w:rFonts w:ascii="Times New Roman" w:eastAsia="Times New Roman" w:hAnsi="Times New Roman" w:cs="Times New Roman"/>
          <w:b/>
          <w:bCs/>
          <w:sz w:val="28"/>
          <w:szCs w:val="28"/>
          <w:rtl/>
          <w:lang w:eastAsia="ar-SA"/>
        </w:rPr>
        <w:t>المجني عليها والزامها بتقديم الهاتف أو سؤالها عن تاريخ رسائل السب يكون غير قويم</w:t>
      </w:r>
    </w:p>
    <w:bookmarkEnd w:id="1"/>
    <w:p w14:paraId="6357FDAE" w14:textId="1338DB05" w:rsidR="00F85C82" w:rsidRPr="00F85C82" w:rsidRDefault="00170EE9" w:rsidP="00E8295B">
      <w:pPr>
        <w:spacing w:after="0" w:line="36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6</w:t>
      </w:r>
      <w:r w:rsidR="00F85C82">
        <w:rPr>
          <w:rFonts w:ascii="Times New Roman" w:eastAsia="Times New Roman" w:hAnsi="Times New Roman" w:cs="Times New Roman" w:hint="cs"/>
          <w:b/>
          <w:bCs/>
          <w:sz w:val="28"/>
          <w:szCs w:val="28"/>
          <w:rtl/>
          <w:lang w:eastAsia="ar-SA"/>
        </w:rPr>
        <w:t xml:space="preserve">- </w:t>
      </w:r>
      <w:r w:rsidR="00F85C82" w:rsidRPr="00F85C82">
        <w:rPr>
          <w:rFonts w:ascii="Times New Roman" w:eastAsia="Times New Roman" w:hAnsi="Times New Roman" w:cs="Times New Roman"/>
          <w:b/>
          <w:bCs/>
          <w:sz w:val="28"/>
          <w:szCs w:val="28"/>
          <w:rtl/>
          <w:lang w:eastAsia="ar-SA"/>
        </w:rPr>
        <w:t xml:space="preserve">المقرر أن كيدية الاتهام وتلفيقه من أوجه الدفاع الموضوعية التي لا تستوجب رداً صريحاً من الحكم بل إن الرد عليها يستفاد من أدلة الثبوت السائغة التي أوردها الحكم، ومن ثم فإن ما يثيره الطاعن في هذا الخصوص يكون غير مقبول. </w:t>
      </w:r>
    </w:p>
    <w:p w14:paraId="20A2D4AA" w14:textId="77777777" w:rsidR="009A6F33" w:rsidRDefault="009A6F33" w:rsidP="00A536B0">
      <w:pPr>
        <w:spacing w:after="0" w:line="360" w:lineRule="auto"/>
        <w:jc w:val="center"/>
        <w:rPr>
          <w:rFonts w:ascii="Times New Roman" w:eastAsia="Times New Roman" w:hAnsi="Times New Roman" w:cs="Times New Roman"/>
          <w:b/>
          <w:bCs/>
          <w:sz w:val="32"/>
          <w:szCs w:val="32"/>
          <w:rtl/>
          <w:lang w:eastAsia="ar-SA" w:bidi="ar-AE"/>
        </w:rPr>
      </w:pPr>
    </w:p>
    <w:p w14:paraId="68430930" w14:textId="3A170836" w:rsidR="00A536B0" w:rsidRDefault="00A536B0" w:rsidP="00A536B0">
      <w:pPr>
        <w:spacing w:after="0" w:line="360" w:lineRule="auto"/>
        <w:jc w:val="center"/>
        <w:rPr>
          <w:rFonts w:ascii="Times New Roman" w:eastAsia="Times New Roman" w:hAnsi="Times New Roman" w:cs="Times New Roman"/>
          <w:b/>
          <w:bCs/>
          <w:sz w:val="32"/>
          <w:szCs w:val="32"/>
          <w:rtl/>
          <w:lang w:eastAsia="ar-SA" w:bidi="ar-AE"/>
        </w:rPr>
      </w:pPr>
      <w:r w:rsidRPr="00A536B0">
        <w:rPr>
          <w:rFonts w:ascii="Times New Roman" w:eastAsia="Times New Roman" w:hAnsi="Times New Roman" w:cs="Times New Roman"/>
          <w:b/>
          <w:bCs/>
          <w:sz w:val="32"/>
          <w:szCs w:val="32"/>
          <w:rtl/>
          <w:lang w:eastAsia="ar-SA" w:bidi="ar-AE"/>
        </w:rPr>
        <w:lastRenderedPageBreak/>
        <w:t>المحكمة</w:t>
      </w:r>
    </w:p>
    <w:p w14:paraId="25ED31BD" w14:textId="20F9D1CA" w:rsidR="009A6F33" w:rsidRDefault="009A6F33" w:rsidP="00A536B0">
      <w:pPr>
        <w:spacing w:after="0" w:line="360" w:lineRule="auto"/>
        <w:jc w:val="center"/>
        <w:rPr>
          <w:rFonts w:ascii="Times New Roman" w:eastAsia="Times New Roman" w:hAnsi="Times New Roman" w:cs="Times New Roman"/>
          <w:b/>
          <w:bCs/>
          <w:sz w:val="32"/>
          <w:szCs w:val="32"/>
          <w:rtl/>
          <w:lang w:eastAsia="ar-SA" w:bidi="ar-AE"/>
        </w:rPr>
      </w:pPr>
      <w:r>
        <w:rPr>
          <w:rFonts w:ascii="Times New Roman" w:eastAsia="Times New Roman" w:hAnsi="Times New Roman" w:cs="Times New Roman" w:hint="cs"/>
          <w:b/>
          <w:bCs/>
          <w:sz w:val="32"/>
          <w:szCs w:val="32"/>
          <w:rtl/>
          <w:lang w:eastAsia="ar-SA" w:bidi="ar-AE"/>
        </w:rPr>
        <w:t>___________</w:t>
      </w:r>
    </w:p>
    <w:p w14:paraId="21954659" w14:textId="77777777" w:rsidR="009A6F33" w:rsidRPr="00A536B0" w:rsidRDefault="009A6F33" w:rsidP="00A536B0">
      <w:pPr>
        <w:spacing w:after="0" w:line="360" w:lineRule="auto"/>
        <w:jc w:val="center"/>
        <w:rPr>
          <w:rFonts w:ascii="Times New Roman" w:eastAsia="Times New Roman" w:hAnsi="Times New Roman" w:cs="Times New Roman"/>
          <w:b/>
          <w:bCs/>
          <w:sz w:val="32"/>
          <w:szCs w:val="32"/>
          <w:rtl/>
          <w:lang w:eastAsia="ar-SA" w:bidi="ar-AE"/>
        </w:rPr>
      </w:pPr>
    </w:p>
    <w:p w14:paraId="4AC15E36" w14:textId="77777777" w:rsidR="00C27206" w:rsidRPr="00C27206" w:rsidRDefault="00C27206" w:rsidP="00C27206">
      <w:pPr>
        <w:spacing w:after="0" w:line="360" w:lineRule="auto"/>
        <w:ind w:firstLine="475"/>
        <w:jc w:val="both"/>
        <w:rPr>
          <w:rFonts w:asciiTheme="majorBidi" w:hAnsiTheme="majorBidi" w:cstheme="majorBidi"/>
          <w:sz w:val="32"/>
          <w:szCs w:val="32"/>
        </w:rPr>
      </w:pPr>
      <w:r w:rsidRPr="00C27206">
        <w:rPr>
          <w:rFonts w:asciiTheme="majorBidi" w:hAnsiTheme="majorBidi" w:cstheme="majorBidi"/>
          <w:sz w:val="32"/>
          <w:szCs w:val="32"/>
          <w:rtl/>
        </w:rPr>
        <w:t>من حيث إن الطعن قد استوفي أوضاعه الشكلية.</w:t>
      </w:r>
      <w:r w:rsidRPr="00C27206">
        <w:rPr>
          <w:rFonts w:asciiTheme="majorBidi" w:hAnsiTheme="majorBidi" w:cstheme="majorBidi"/>
          <w:sz w:val="32"/>
          <w:szCs w:val="32"/>
        </w:rPr>
        <w:t xml:space="preserve"> </w:t>
      </w:r>
    </w:p>
    <w:p w14:paraId="774822C4" w14:textId="4FCB7094" w:rsidR="00C27206" w:rsidRPr="00C27206" w:rsidRDefault="00C27206" w:rsidP="00C27206">
      <w:pPr>
        <w:spacing w:after="0" w:line="360" w:lineRule="auto"/>
        <w:ind w:firstLine="475"/>
        <w:jc w:val="both"/>
        <w:rPr>
          <w:rFonts w:asciiTheme="majorBidi" w:hAnsiTheme="majorBidi" w:cstheme="majorBidi"/>
          <w:noProof/>
          <w:sz w:val="32"/>
          <w:szCs w:val="32"/>
          <w:rtl/>
        </w:rPr>
      </w:pPr>
      <w:r w:rsidRPr="00C27206">
        <w:rPr>
          <w:rFonts w:asciiTheme="majorBidi" w:hAnsiTheme="majorBidi" w:cstheme="majorBidi"/>
          <w:noProof/>
          <w:sz w:val="32"/>
          <w:szCs w:val="32"/>
          <w:rtl/>
        </w:rPr>
        <w:t xml:space="preserve">وحيث إن الوقائع – على ما يبين من الحكم المطعون فيه وسائر الأوراق- تتحصل في أن النيابة العامة أسندت للطاعن </w:t>
      </w:r>
      <w:r w:rsidRPr="00C27206">
        <w:rPr>
          <w:rFonts w:asciiTheme="majorBidi" w:hAnsiTheme="majorBidi" w:cstheme="majorBidi"/>
          <w:noProof/>
          <w:sz w:val="32"/>
          <w:szCs w:val="32"/>
          <w:rtl/>
          <w:lang w:bidi="ar-AE"/>
        </w:rPr>
        <w:t xml:space="preserve">أنه بتاريخ سابق على 12/6/2024 بدائرة </w:t>
      </w:r>
      <w:r w:rsidR="009A6F33">
        <w:rPr>
          <w:rFonts w:asciiTheme="majorBidi" w:hAnsiTheme="majorBidi" w:cstheme="majorBidi" w:hint="cs"/>
          <w:noProof/>
          <w:sz w:val="32"/>
          <w:szCs w:val="32"/>
          <w:rtl/>
          <w:lang w:bidi="ar-AE"/>
        </w:rPr>
        <w:t>...........</w:t>
      </w:r>
      <w:r w:rsidR="00E1416D">
        <w:rPr>
          <w:rFonts w:asciiTheme="majorBidi" w:hAnsiTheme="majorBidi" w:cstheme="majorBidi" w:hint="cs"/>
          <w:noProof/>
          <w:sz w:val="32"/>
          <w:szCs w:val="32"/>
          <w:rtl/>
          <w:lang w:bidi="ar-AE"/>
        </w:rPr>
        <w:t>:</w:t>
      </w:r>
    </w:p>
    <w:p w14:paraId="256AC1A6" w14:textId="09B358ED" w:rsidR="00C27206" w:rsidRPr="00C27206" w:rsidRDefault="00C27206" w:rsidP="00E1416D">
      <w:pPr>
        <w:spacing w:after="0" w:line="360" w:lineRule="auto"/>
        <w:jc w:val="both"/>
        <w:rPr>
          <w:rFonts w:asciiTheme="majorBidi" w:hAnsiTheme="majorBidi" w:cstheme="majorBidi"/>
          <w:noProof/>
          <w:sz w:val="32"/>
          <w:szCs w:val="32"/>
          <w:rtl/>
          <w:lang w:bidi="ar-AE"/>
        </w:rPr>
      </w:pPr>
      <w:r>
        <w:rPr>
          <w:rFonts w:asciiTheme="majorBidi" w:hAnsiTheme="majorBidi" w:cstheme="majorBidi" w:hint="cs"/>
          <w:noProof/>
          <w:sz w:val="32"/>
          <w:szCs w:val="32"/>
          <w:rtl/>
          <w:lang w:bidi="ar-AE"/>
        </w:rPr>
        <w:t xml:space="preserve">- </w:t>
      </w:r>
      <w:r w:rsidRPr="00C27206">
        <w:rPr>
          <w:rFonts w:asciiTheme="majorBidi" w:hAnsiTheme="majorBidi" w:cstheme="majorBidi"/>
          <w:noProof/>
          <w:sz w:val="32"/>
          <w:szCs w:val="32"/>
          <w:rtl/>
          <w:lang w:bidi="ar-AE"/>
        </w:rPr>
        <w:t xml:space="preserve">سب المجني عليها / </w:t>
      </w:r>
      <w:r>
        <w:rPr>
          <w:rFonts w:asciiTheme="majorBidi" w:hAnsiTheme="majorBidi" w:cstheme="majorBidi" w:hint="cs"/>
          <w:noProof/>
          <w:sz w:val="32"/>
          <w:szCs w:val="32"/>
          <w:rtl/>
          <w:lang w:bidi="ar-AE"/>
        </w:rPr>
        <w:t>.......</w:t>
      </w:r>
      <w:r w:rsidRPr="00C27206">
        <w:rPr>
          <w:rFonts w:asciiTheme="majorBidi" w:hAnsiTheme="majorBidi" w:cstheme="majorBidi"/>
          <w:noProof/>
          <w:sz w:val="32"/>
          <w:szCs w:val="32"/>
          <w:rtl/>
          <w:lang w:bidi="ar-AE"/>
        </w:rPr>
        <w:t xml:space="preserve"> بألفاظ السباب المبينة بالمحضر بطريق الهاتف على النحو المبين بالأوراق.</w:t>
      </w:r>
    </w:p>
    <w:p w14:paraId="0B93CE4E" w14:textId="7C19139C" w:rsidR="00C27206" w:rsidRPr="00C27206" w:rsidRDefault="00C27206" w:rsidP="009A6F33">
      <w:pPr>
        <w:spacing w:after="0" w:line="360" w:lineRule="auto"/>
        <w:jc w:val="both"/>
        <w:rPr>
          <w:rFonts w:asciiTheme="majorBidi" w:hAnsiTheme="majorBidi" w:cstheme="majorBidi"/>
          <w:noProof/>
          <w:sz w:val="32"/>
          <w:szCs w:val="32"/>
          <w:rtl/>
          <w:lang w:bidi="ar-AE"/>
        </w:rPr>
      </w:pPr>
      <w:r w:rsidRPr="00C27206">
        <w:rPr>
          <w:rFonts w:asciiTheme="majorBidi" w:hAnsiTheme="majorBidi" w:cstheme="majorBidi"/>
          <w:noProof/>
          <w:sz w:val="32"/>
          <w:szCs w:val="32"/>
          <w:rtl/>
          <w:lang w:bidi="ar-AE"/>
        </w:rPr>
        <w:t>وطلبت عقابه طبقا للمادة 427/1 من المرسوم بقانون اتحادي رقم 31 لسنة 2021 بإصدار قانون الجرائم والعقوبات.</w:t>
      </w:r>
    </w:p>
    <w:p w14:paraId="405E4760" w14:textId="77777777" w:rsidR="00C27206" w:rsidRPr="00C27206" w:rsidRDefault="00C27206" w:rsidP="009A6F33">
      <w:pPr>
        <w:spacing w:after="0" w:line="360" w:lineRule="auto"/>
        <w:jc w:val="both"/>
        <w:rPr>
          <w:rFonts w:asciiTheme="majorBidi" w:eastAsia="Times New Roman" w:hAnsiTheme="majorBidi" w:cstheme="majorBidi"/>
          <w:sz w:val="32"/>
          <w:szCs w:val="32"/>
        </w:rPr>
      </w:pPr>
      <w:r w:rsidRPr="00C27206">
        <w:rPr>
          <w:rFonts w:asciiTheme="majorBidi" w:eastAsia="Batang" w:hAnsiTheme="majorBidi" w:cstheme="majorBidi"/>
          <w:sz w:val="32"/>
          <w:szCs w:val="32"/>
          <w:rtl/>
          <w:lang w:bidi="ar-AE"/>
        </w:rPr>
        <w:t xml:space="preserve">ومحكمة جنح الشارقة الاتحادية الابتدائية قضت بتاريخ 9/7/2024 </w:t>
      </w:r>
      <w:r w:rsidRPr="00C27206">
        <w:rPr>
          <w:rFonts w:asciiTheme="majorBidi" w:eastAsia="Times New Roman" w:hAnsiTheme="majorBidi" w:cstheme="majorBidi"/>
          <w:sz w:val="32"/>
          <w:szCs w:val="32"/>
          <w:rtl/>
        </w:rPr>
        <w:t>حضوريا بعدم جواز نظر الدعوى الجزائية قبل المتهم.</w:t>
      </w:r>
    </w:p>
    <w:p w14:paraId="1A775F66" w14:textId="593439E7" w:rsidR="00C27206" w:rsidRPr="00C27206" w:rsidRDefault="00C27206" w:rsidP="009A6F33">
      <w:pPr>
        <w:spacing w:after="0" w:line="360" w:lineRule="auto"/>
        <w:jc w:val="both"/>
        <w:rPr>
          <w:rFonts w:asciiTheme="majorBidi" w:eastAsia="Batang" w:hAnsiTheme="majorBidi" w:cstheme="majorBidi"/>
          <w:sz w:val="32"/>
          <w:szCs w:val="32"/>
          <w:lang w:bidi="ar-AE"/>
        </w:rPr>
      </w:pPr>
      <w:r w:rsidRPr="00C27206">
        <w:rPr>
          <w:rFonts w:asciiTheme="majorBidi" w:eastAsia="Batang" w:hAnsiTheme="majorBidi" w:cstheme="majorBidi"/>
          <w:sz w:val="32"/>
          <w:szCs w:val="32"/>
          <w:rtl/>
          <w:lang w:bidi="ar-AE"/>
        </w:rPr>
        <w:t>فاستأنفت النيابة العامة هذا الحكم بالاستئناف رقم 2119 لسنة 2024 جزائي</w:t>
      </w:r>
      <w:r>
        <w:rPr>
          <w:rFonts w:asciiTheme="majorBidi" w:eastAsia="Batang" w:hAnsiTheme="majorBidi" w:cstheme="majorBidi" w:hint="cs"/>
          <w:sz w:val="32"/>
          <w:szCs w:val="32"/>
          <w:rtl/>
          <w:lang w:bidi="ar-AE"/>
        </w:rPr>
        <w:t xml:space="preserve">، </w:t>
      </w:r>
      <w:r w:rsidRPr="00C27206">
        <w:rPr>
          <w:rFonts w:asciiTheme="majorBidi" w:eastAsia="Batang" w:hAnsiTheme="majorBidi" w:cstheme="majorBidi"/>
          <w:sz w:val="32"/>
          <w:szCs w:val="32"/>
          <w:rtl/>
          <w:lang w:bidi="ar-AE"/>
        </w:rPr>
        <w:t xml:space="preserve">ومحكمة جنح مستأنف </w:t>
      </w:r>
      <w:r w:rsidR="009A6F33">
        <w:rPr>
          <w:rFonts w:asciiTheme="majorBidi" w:eastAsia="Batang" w:hAnsiTheme="majorBidi" w:cstheme="majorBidi" w:hint="cs"/>
          <w:sz w:val="32"/>
          <w:szCs w:val="32"/>
          <w:rtl/>
          <w:lang w:bidi="ar-AE"/>
        </w:rPr>
        <w:t>...</w:t>
      </w:r>
      <w:r w:rsidRPr="00C27206">
        <w:rPr>
          <w:rFonts w:asciiTheme="majorBidi" w:eastAsia="Batang" w:hAnsiTheme="majorBidi" w:cstheme="majorBidi"/>
          <w:sz w:val="32"/>
          <w:szCs w:val="32"/>
          <w:rtl/>
          <w:lang w:bidi="ar-AE"/>
        </w:rPr>
        <w:t xml:space="preserve"> الاتحادية قضت بتاريخ 28/8/2024 </w:t>
      </w:r>
      <w:r w:rsidRPr="00C27206">
        <w:rPr>
          <w:rFonts w:asciiTheme="majorBidi" w:eastAsia="Batang" w:hAnsiTheme="majorBidi" w:cstheme="majorBidi"/>
          <w:sz w:val="32"/>
          <w:szCs w:val="32"/>
          <w:rtl/>
        </w:rPr>
        <w:t xml:space="preserve">حضوريا وبإجماع الآراء بقبول الاستئناف </w:t>
      </w:r>
      <w:r w:rsidRPr="00C27206">
        <w:rPr>
          <w:rFonts w:asciiTheme="majorBidi" w:eastAsia="Batang" w:hAnsiTheme="majorBidi" w:cstheme="majorBidi" w:hint="cs"/>
          <w:sz w:val="32"/>
          <w:szCs w:val="32"/>
          <w:rtl/>
        </w:rPr>
        <w:t>شكلا</w:t>
      </w:r>
      <w:r>
        <w:rPr>
          <w:rFonts w:asciiTheme="majorBidi" w:eastAsia="Batang" w:hAnsiTheme="majorBidi" w:cstheme="majorBidi" w:hint="cs"/>
          <w:sz w:val="32"/>
          <w:szCs w:val="32"/>
          <w:rtl/>
        </w:rPr>
        <w:t>،</w:t>
      </w:r>
      <w:r w:rsidRPr="00C27206">
        <w:rPr>
          <w:rFonts w:asciiTheme="majorBidi" w:eastAsia="Batang" w:hAnsiTheme="majorBidi" w:cstheme="majorBidi"/>
          <w:sz w:val="32"/>
          <w:szCs w:val="32"/>
          <w:rtl/>
        </w:rPr>
        <w:t xml:space="preserve"> وفي الموضوع </w:t>
      </w:r>
      <w:r w:rsidRPr="00C27206">
        <w:rPr>
          <w:rFonts w:asciiTheme="majorBidi" w:eastAsia="Batang" w:hAnsiTheme="majorBidi" w:cstheme="majorBidi" w:hint="cs"/>
          <w:sz w:val="32"/>
          <w:szCs w:val="32"/>
          <w:rtl/>
        </w:rPr>
        <w:t>بإلغاء</w:t>
      </w:r>
      <w:r w:rsidRPr="00C27206">
        <w:rPr>
          <w:rFonts w:asciiTheme="majorBidi" w:eastAsia="Batang" w:hAnsiTheme="majorBidi" w:cstheme="majorBidi"/>
          <w:sz w:val="32"/>
          <w:szCs w:val="32"/>
          <w:rtl/>
        </w:rPr>
        <w:t xml:space="preserve"> الحكم المستأنف والقضاء مجددا بمعاقبة المستأنف ضده/ </w:t>
      </w:r>
      <w:r>
        <w:rPr>
          <w:rFonts w:asciiTheme="majorBidi" w:eastAsia="Batang" w:hAnsiTheme="majorBidi" w:cstheme="majorBidi" w:hint="cs"/>
          <w:sz w:val="32"/>
          <w:szCs w:val="32"/>
          <w:rtl/>
        </w:rPr>
        <w:t>.......</w:t>
      </w:r>
      <w:r w:rsidRPr="00C27206">
        <w:rPr>
          <w:rFonts w:asciiTheme="majorBidi" w:eastAsia="Batang" w:hAnsiTheme="majorBidi" w:cstheme="majorBidi"/>
          <w:sz w:val="32"/>
          <w:szCs w:val="32"/>
          <w:rtl/>
        </w:rPr>
        <w:t xml:space="preserve"> بتغريمه خمسة </w:t>
      </w:r>
      <w:r>
        <w:rPr>
          <w:rFonts w:asciiTheme="majorBidi" w:eastAsia="Batang" w:hAnsiTheme="majorBidi" w:cstheme="majorBidi" w:hint="cs"/>
          <w:sz w:val="32"/>
          <w:szCs w:val="32"/>
          <w:rtl/>
        </w:rPr>
        <w:t>أ</w:t>
      </w:r>
      <w:r w:rsidRPr="00C27206">
        <w:rPr>
          <w:rFonts w:asciiTheme="majorBidi" w:eastAsia="Batang" w:hAnsiTheme="majorBidi" w:cstheme="majorBidi"/>
          <w:sz w:val="32"/>
          <w:szCs w:val="32"/>
          <w:rtl/>
        </w:rPr>
        <w:t>ل</w:t>
      </w:r>
      <w:r>
        <w:rPr>
          <w:rFonts w:asciiTheme="majorBidi" w:eastAsia="Batang" w:hAnsiTheme="majorBidi" w:cstheme="majorBidi" w:hint="cs"/>
          <w:sz w:val="32"/>
          <w:szCs w:val="32"/>
          <w:rtl/>
        </w:rPr>
        <w:t>ا</w:t>
      </w:r>
      <w:r w:rsidRPr="00C27206">
        <w:rPr>
          <w:rFonts w:asciiTheme="majorBidi" w:eastAsia="Batang" w:hAnsiTheme="majorBidi" w:cstheme="majorBidi"/>
          <w:sz w:val="32"/>
          <w:szCs w:val="32"/>
          <w:rtl/>
        </w:rPr>
        <w:t>ف درهم عن التهمة المسندة اليه</w:t>
      </w:r>
      <w:r w:rsidRPr="00C27206">
        <w:rPr>
          <w:rFonts w:asciiTheme="majorBidi" w:eastAsia="Batang" w:hAnsiTheme="majorBidi" w:cstheme="majorBidi"/>
          <w:sz w:val="32"/>
          <w:szCs w:val="32"/>
          <w:rtl/>
          <w:lang w:bidi="ar-AE"/>
        </w:rPr>
        <w:t>.</w:t>
      </w:r>
    </w:p>
    <w:p w14:paraId="70939183" w14:textId="77777777" w:rsidR="00C27206" w:rsidRPr="00C27206" w:rsidRDefault="00C27206" w:rsidP="009A6F33">
      <w:pPr>
        <w:spacing w:after="0" w:line="360" w:lineRule="auto"/>
        <w:jc w:val="both"/>
        <w:rPr>
          <w:rFonts w:asciiTheme="majorBidi" w:eastAsia="Batang" w:hAnsiTheme="majorBidi" w:cstheme="majorBidi"/>
          <w:sz w:val="32"/>
          <w:szCs w:val="32"/>
          <w:rtl/>
          <w:lang w:bidi="ar-AE"/>
        </w:rPr>
      </w:pPr>
      <w:r w:rsidRPr="00C27206">
        <w:rPr>
          <w:rFonts w:asciiTheme="majorBidi" w:eastAsia="Batang" w:hAnsiTheme="majorBidi" w:cstheme="majorBidi"/>
          <w:sz w:val="32"/>
          <w:szCs w:val="32"/>
          <w:rtl/>
          <w:lang w:bidi="ar-AE"/>
        </w:rPr>
        <w:t>ولم يرتض المحكوم عليه هذا الحكم فطعن عليه بطريق النقض بالطعن الماثل وأودع مبلغ التأمين، وأودعت النيابة العامة مذكرة بالرأي طلبت فيها رفض الطعن.</w:t>
      </w:r>
    </w:p>
    <w:p w14:paraId="6842370A" w14:textId="3990DB58" w:rsidR="00C27206" w:rsidRPr="00C27206" w:rsidRDefault="00C27206" w:rsidP="009A6F33">
      <w:pPr>
        <w:spacing w:after="0" w:line="360" w:lineRule="auto"/>
        <w:jc w:val="both"/>
        <w:rPr>
          <w:rFonts w:asciiTheme="majorBidi" w:hAnsiTheme="majorBidi" w:cstheme="majorBidi"/>
          <w:sz w:val="32"/>
          <w:szCs w:val="32"/>
        </w:rPr>
      </w:pPr>
      <w:r w:rsidRPr="00C27206">
        <w:rPr>
          <w:rFonts w:asciiTheme="majorBidi" w:hAnsiTheme="majorBidi" w:cstheme="majorBidi"/>
          <w:sz w:val="32"/>
          <w:szCs w:val="32"/>
          <w:rtl/>
        </w:rPr>
        <w:t>من حيث إن الطاعن ينعي على الحكم المطعون فيه أنه إذ دانه بجريمة السب بطريق الهاتف قد شابه القصور في التسبيب والفساد في الاستدلال والإخلال بحق الدفاع، ذلك بأنه جاء قاص</w:t>
      </w:r>
      <w:r>
        <w:rPr>
          <w:rFonts w:asciiTheme="majorBidi" w:hAnsiTheme="majorBidi" w:cstheme="majorBidi" w:hint="cs"/>
          <w:sz w:val="32"/>
          <w:szCs w:val="32"/>
          <w:rtl/>
        </w:rPr>
        <w:t>ر</w:t>
      </w:r>
      <w:r w:rsidRPr="00C27206">
        <w:rPr>
          <w:rFonts w:asciiTheme="majorBidi" w:hAnsiTheme="majorBidi" w:cstheme="majorBidi"/>
          <w:sz w:val="32"/>
          <w:szCs w:val="32"/>
          <w:rtl/>
        </w:rPr>
        <w:t>ا</w:t>
      </w:r>
      <w:r>
        <w:rPr>
          <w:rFonts w:asciiTheme="majorBidi" w:hAnsiTheme="majorBidi" w:cstheme="majorBidi" w:hint="cs"/>
          <w:sz w:val="32"/>
          <w:szCs w:val="32"/>
          <w:rtl/>
        </w:rPr>
        <w:t xml:space="preserve">ً في </w:t>
      </w:r>
      <w:r w:rsidRPr="00C27206">
        <w:rPr>
          <w:rFonts w:asciiTheme="majorBidi" w:hAnsiTheme="majorBidi" w:cstheme="majorBidi"/>
          <w:sz w:val="32"/>
          <w:szCs w:val="32"/>
          <w:rtl/>
        </w:rPr>
        <w:t xml:space="preserve">بيان واقعة الدعوى، وخلا من بيان تاريخ الواقعة رغم مرور اكثر من ثلاثة اشهر على ارتكابها بما يتعين معه عدم قبول </w:t>
      </w:r>
      <w:r w:rsidRPr="00C27206">
        <w:rPr>
          <w:rFonts w:asciiTheme="majorBidi" w:hAnsiTheme="majorBidi" w:cstheme="majorBidi" w:hint="cs"/>
          <w:sz w:val="32"/>
          <w:szCs w:val="32"/>
          <w:rtl/>
        </w:rPr>
        <w:t>الشكوى</w:t>
      </w:r>
      <w:r w:rsidRPr="00C27206">
        <w:rPr>
          <w:rFonts w:asciiTheme="majorBidi" w:hAnsiTheme="majorBidi" w:cstheme="majorBidi"/>
          <w:sz w:val="32"/>
          <w:szCs w:val="32"/>
          <w:rtl/>
        </w:rPr>
        <w:t xml:space="preserve">، هذا الى قصور تحقيقات النيابة العامة لعدم سؤال المجنى عليها عن تاريخ رسائل السب، ولم تجب المحكمة الطاعن الى طلبه </w:t>
      </w:r>
      <w:r w:rsidRPr="00C27206">
        <w:rPr>
          <w:rFonts w:asciiTheme="majorBidi" w:hAnsiTheme="majorBidi" w:cstheme="majorBidi"/>
          <w:sz w:val="32"/>
          <w:szCs w:val="32"/>
          <w:rtl/>
          <w:lang w:bidi="ar-AE"/>
        </w:rPr>
        <w:t xml:space="preserve">باستدعاء </w:t>
      </w:r>
      <w:r w:rsidRPr="00C27206">
        <w:rPr>
          <w:rFonts w:asciiTheme="majorBidi" w:hAnsiTheme="majorBidi" w:cstheme="majorBidi"/>
          <w:sz w:val="32"/>
          <w:szCs w:val="32"/>
          <w:rtl/>
        </w:rPr>
        <w:t>المجنى عليها والزامها بتقديم الهاتف أو سؤالها عن تاريخ رسائل السب، والتفت الحكم عن دفاعه بكيدية الاتهام وتلفيقه لوجود خلافات سابقة بينه والمجني عليها، كل ذلك مما يعيب الحكم ويستوجب نقضه</w:t>
      </w:r>
      <w:r w:rsidRPr="00C27206">
        <w:rPr>
          <w:rFonts w:asciiTheme="majorBidi" w:hAnsiTheme="majorBidi" w:cstheme="majorBidi"/>
          <w:sz w:val="32"/>
          <w:szCs w:val="32"/>
        </w:rPr>
        <w:t>.</w:t>
      </w:r>
    </w:p>
    <w:p w14:paraId="4F465C90" w14:textId="29389CD8" w:rsidR="00C27206" w:rsidRPr="00C27206" w:rsidRDefault="00C27206" w:rsidP="00C27206">
      <w:pPr>
        <w:spacing w:after="0" w:line="360" w:lineRule="auto"/>
        <w:ind w:firstLine="475"/>
        <w:jc w:val="both"/>
        <w:rPr>
          <w:rFonts w:asciiTheme="majorBidi" w:hAnsiTheme="majorBidi" w:cstheme="majorBidi"/>
          <w:sz w:val="32"/>
          <w:szCs w:val="32"/>
          <w:rtl/>
        </w:rPr>
      </w:pPr>
      <w:r w:rsidRPr="00C27206">
        <w:rPr>
          <w:rFonts w:asciiTheme="majorBidi" w:hAnsiTheme="majorBidi" w:cstheme="majorBidi"/>
          <w:sz w:val="32"/>
          <w:szCs w:val="32"/>
          <w:rtl/>
        </w:rPr>
        <w:lastRenderedPageBreak/>
        <w:t xml:space="preserve">حيث إن الحكم المطعون فيه بين واقعة الدعوى بما تتوافر به كافة العناصر القانونية للجريمة التي دان الطاعن بها وأورد على ثبوتها في حقه أدلة سائغة لها معينها الصحيح من أوراق الدعوى وتؤدى إلى ما رتبه الحكم عليها. لما كان ذلك، وكان من </w:t>
      </w:r>
      <w:bookmarkStart w:id="2" w:name="_Hlk209162511"/>
      <w:r w:rsidRPr="00C27206">
        <w:rPr>
          <w:rFonts w:asciiTheme="majorBidi" w:hAnsiTheme="majorBidi" w:cstheme="majorBidi"/>
          <w:sz w:val="32"/>
          <w:szCs w:val="32"/>
          <w:rtl/>
        </w:rPr>
        <w:t>المقرر أن القانون لم يرسم شكلاً يصوغ فيه الحكم بيان الواقعة المستوجبة للعقوبة والظروف التي وقعت فيها ومتى كان مجموع ما أورده الحكم كافياً في تفهم الواقعة بأركانها وظروفها حسبما استخلصتها المحكمة - كما هو الحال في الدعوى الراهنة - كان ذلك محققاً لحكم القانون، ومن ثم فإن ما ينعاه الطاعن على الحكم من قصور يكون لا محل له</w:t>
      </w:r>
      <w:r w:rsidRPr="00C27206">
        <w:rPr>
          <w:rFonts w:asciiTheme="majorBidi" w:hAnsiTheme="majorBidi" w:cstheme="majorBidi"/>
          <w:sz w:val="32"/>
          <w:szCs w:val="32"/>
        </w:rPr>
        <w:t>.</w:t>
      </w:r>
      <w:r w:rsidRPr="00C27206">
        <w:rPr>
          <w:rFonts w:asciiTheme="majorBidi" w:hAnsiTheme="majorBidi" w:cstheme="majorBidi"/>
          <w:sz w:val="32"/>
          <w:szCs w:val="32"/>
          <w:rtl/>
        </w:rPr>
        <w:t xml:space="preserve"> لما كان ذلك، وكان من المقرر وعلى ما جرى عليه نص المادة 221 من قانون الإجراءات الجزائية: "يكون الإجراء باطلاً إذا نص القانون صراحة على بطلانه أو إذا شابه عيب لم تتحقق بسببه الغاية من الإجراء"، كما جرى نص المادة 11 من ذات القانون على أنه: "لا يجوز أن ترفع الدعوى الجزائية في الجرائم التالية إلا بناء على شكوى تقدم من المجني عليه أو من يقوم مقامه أو من وكيله الخاص:- 1- السرقة والاحتيال</w:t>
      </w:r>
      <w:r w:rsidR="00E1416D">
        <w:rPr>
          <w:rFonts w:asciiTheme="majorBidi" w:hAnsiTheme="majorBidi" w:cstheme="majorBidi" w:hint="cs"/>
          <w:sz w:val="32"/>
          <w:szCs w:val="32"/>
          <w:rtl/>
        </w:rPr>
        <w:t>،</w:t>
      </w:r>
      <w:r w:rsidRPr="00C27206">
        <w:rPr>
          <w:rFonts w:asciiTheme="majorBidi" w:hAnsiTheme="majorBidi" w:cstheme="majorBidi"/>
          <w:sz w:val="32"/>
          <w:szCs w:val="32"/>
          <w:rtl/>
        </w:rPr>
        <w:t xml:space="preserve"> 2- عدم تسليم الصغير</w:t>
      </w:r>
      <w:r w:rsidR="00E1416D">
        <w:rPr>
          <w:rFonts w:asciiTheme="majorBidi" w:hAnsiTheme="majorBidi" w:cstheme="majorBidi" w:hint="cs"/>
          <w:sz w:val="32"/>
          <w:szCs w:val="32"/>
          <w:rtl/>
        </w:rPr>
        <w:t>،</w:t>
      </w:r>
      <w:r w:rsidRPr="00C27206">
        <w:rPr>
          <w:rFonts w:asciiTheme="majorBidi" w:hAnsiTheme="majorBidi" w:cstheme="majorBidi"/>
          <w:sz w:val="32"/>
          <w:szCs w:val="32"/>
          <w:rtl/>
        </w:rPr>
        <w:t xml:space="preserve"> 3- الامتناع عن أداء النفقة</w:t>
      </w:r>
      <w:r w:rsidR="00E1416D">
        <w:rPr>
          <w:rFonts w:asciiTheme="majorBidi" w:hAnsiTheme="majorBidi" w:cstheme="majorBidi" w:hint="cs"/>
          <w:sz w:val="32"/>
          <w:szCs w:val="32"/>
          <w:rtl/>
        </w:rPr>
        <w:t>،</w:t>
      </w:r>
      <w:r w:rsidRPr="00C27206">
        <w:rPr>
          <w:rFonts w:asciiTheme="majorBidi" w:hAnsiTheme="majorBidi" w:cstheme="majorBidi"/>
          <w:sz w:val="32"/>
          <w:szCs w:val="32"/>
          <w:rtl/>
        </w:rPr>
        <w:t xml:space="preserve"> 4- سب الأشخاص وقذفهم</w:t>
      </w:r>
      <w:r w:rsidR="00E1416D">
        <w:rPr>
          <w:rFonts w:asciiTheme="majorBidi" w:hAnsiTheme="majorBidi" w:cstheme="majorBidi" w:hint="cs"/>
          <w:sz w:val="32"/>
          <w:szCs w:val="32"/>
          <w:rtl/>
        </w:rPr>
        <w:t>،</w:t>
      </w:r>
      <w:r w:rsidRPr="00C27206">
        <w:rPr>
          <w:rFonts w:asciiTheme="majorBidi" w:hAnsiTheme="majorBidi" w:cstheme="majorBidi"/>
          <w:sz w:val="32"/>
          <w:szCs w:val="32"/>
          <w:rtl/>
        </w:rPr>
        <w:t xml:space="preserve"> 5- الجرائم الأخرى التي ينص عليها القانون. ولا تقبل </w:t>
      </w:r>
      <w:r w:rsidR="00F85C82" w:rsidRPr="00C27206">
        <w:rPr>
          <w:rFonts w:asciiTheme="majorBidi" w:hAnsiTheme="majorBidi" w:cstheme="majorBidi" w:hint="cs"/>
          <w:sz w:val="32"/>
          <w:szCs w:val="32"/>
          <w:rtl/>
        </w:rPr>
        <w:t>الشكوى</w:t>
      </w:r>
      <w:r w:rsidRPr="00C27206">
        <w:rPr>
          <w:rFonts w:asciiTheme="majorBidi" w:hAnsiTheme="majorBidi" w:cstheme="majorBidi"/>
          <w:sz w:val="32"/>
          <w:szCs w:val="32"/>
          <w:rtl/>
        </w:rPr>
        <w:t xml:space="preserve"> بعد (3) ثلاثة اشهر من يوم علم المجنى عليه بالجريمة ومرتكبها ما لم ينص القانون على خلاف ذلك."، بما مؤداه أن المشرع اشترط ورود الجرائم المقيدة تحريكها بشكوى أن ينص عليها القانون وهو استثناء من الأصل العام لتحريك الدعاوى الجزائية التي جعل القانون للنيابة العامة حق تحريكها دون شكوى</w:t>
      </w:r>
      <w:r w:rsidRPr="00C27206">
        <w:rPr>
          <w:rFonts w:asciiTheme="majorBidi" w:hAnsiTheme="majorBidi" w:cstheme="majorBidi"/>
          <w:sz w:val="32"/>
          <w:szCs w:val="32"/>
          <w:rtl/>
          <w:lang w:bidi="ar-AE"/>
        </w:rPr>
        <w:t xml:space="preserve">، كما اشترط لقبول </w:t>
      </w:r>
      <w:r w:rsidR="00F85C82" w:rsidRPr="00C27206">
        <w:rPr>
          <w:rFonts w:asciiTheme="majorBidi" w:hAnsiTheme="majorBidi" w:cstheme="majorBidi" w:hint="cs"/>
          <w:sz w:val="32"/>
          <w:szCs w:val="32"/>
          <w:rtl/>
          <w:lang w:bidi="ar-AE"/>
        </w:rPr>
        <w:t>الشكوى</w:t>
      </w:r>
      <w:r w:rsidRPr="00C27206">
        <w:rPr>
          <w:rFonts w:asciiTheme="majorBidi" w:hAnsiTheme="majorBidi" w:cstheme="majorBidi"/>
          <w:sz w:val="32"/>
          <w:szCs w:val="32"/>
          <w:rtl/>
          <w:lang w:bidi="ar-AE"/>
        </w:rPr>
        <w:t xml:space="preserve"> عدم مرور ثلاثة أشهر </w:t>
      </w:r>
      <w:r w:rsidRPr="00C27206">
        <w:rPr>
          <w:rFonts w:asciiTheme="majorBidi" w:hAnsiTheme="majorBidi" w:cstheme="majorBidi"/>
          <w:sz w:val="32"/>
          <w:szCs w:val="32"/>
          <w:rtl/>
        </w:rPr>
        <w:t>من يوم علم المجن</w:t>
      </w:r>
      <w:r w:rsidR="009A6F33">
        <w:rPr>
          <w:rFonts w:asciiTheme="majorBidi" w:hAnsiTheme="majorBidi" w:cstheme="majorBidi" w:hint="cs"/>
          <w:sz w:val="32"/>
          <w:szCs w:val="32"/>
          <w:rtl/>
        </w:rPr>
        <w:t>ي</w:t>
      </w:r>
      <w:r w:rsidRPr="00C27206">
        <w:rPr>
          <w:rFonts w:asciiTheme="majorBidi" w:hAnsiTheme="majorBidi" w:cstheme="majorBidi"/>
          <w:sz w:val="32"/>
          <w:szCs w:val="32"/>
          <w:rtl/>
        </w:rPr>
        <w:t xml:space="preserve"> عليه بالجريمة ومرتكبها ما لم ينص على خلاف ذلك</w:t>
      </w:r>
      <w:r w:rsidRPr="00C27206">
        <w:rPr>
          <w:rFonts w:asciiTheme="majorBidi" w:hAnsiTheme="majorBidi" w:cstheme="majorBidi"/>
          <w:sz w:val="32"/>
          <w:szCs w:val="32"/>
          <w:rtl/>
          <w:lang w:bidi="ar-AE"/>
        </w:rPr>
        <w:t xml:space="preserve">، </w:t>
      </w:r>
      <w:r w:rsidRPr="00C27206">
        <w:rPr>
          <w:rFonts w:asciiTheme="majorBidi" w:hAnsiTheme="majorBidi" w:cstheme="majorBidi"/>
          <w:sz w:val="32"/>
          <w:szCs w:val="32"/>
          <w:rtl/>
        </w:rPr>
        <w:t xml:space="preserve">وكان الثابت من الاطلاع على الحكم المطعون فيه أن واقعة السب التي ارتكبها الطاعن في حق المجني عليها حدثت في شهر فبراير 2024 وانها تقدمت بشكواها وقيدت بتاريخ 23/4/2024 حسبما هو ثابت بالعريضة المقدمة منها والتي تحمل رقم 1234 لسنة 2024 عرائض ولم يمضى ثلاثة اشهر من تاريخ علمها بالواقعة حتى تقديم شكواها، ومن ثم يكون ما ينعاه الطاعن على  الحكم في هذا الصدد غير مقبول. </w:t>
      </w:r>
      <w:bookmarkStart w:id="3" w:name="_Hlk211937750"/>
      <w:r w:rsidRPr="00C27206">
        <w:rPr>
          <w:rFonts w:asciiTheme="majorBidi" w:hAnsiTheme="majorBidi" w:cstheme="majorBidi"/>
          <w:sz w:val="32"/>
          <w:szCs w:val="32"/>
          <w:rtl/>
        </w:rPr>
        <w:t xml:space="preserve">لما كان ذلك، وكان ما يثيره الطاعن بشأن قصور تحقيقات النيابة العامة لعدم سؤال المجني عليها عن تاريخ ارسال رسائل السب لا يعدو أن يكون تعييبا للإجراءات السابقة على المحاكمة مما لا يصح أن يكون سببا للنعي على الحكم. </w:t>
      </w:r>
      <w:bookmarkStart w:id="4" w:name="_Hlk204213591"/>
      <w:r w:rsidRPr="00C27206">
        <w:rPr>
          <w:rFonts w:asciiTheme="majorBidi" w:hAnsiTheme="majorBidi" w:cstheme="majorBidi"/>
          <w:sz w:val="32"/>
          <w:szCs w:val="32"/>
          <w:rtl/>
        </w:rPr>
        <w:t xml:space="preserve">لما كان ذلك، وكان من المقرر أن إحالة الدعوي للتحقيق ليس حقاً للخصوم يتعين على المحكمة إقراره كلما طلب منها ذلك، بل هو خاضع لسلطتها التقديرية، ولها ألا تأمر </w:t>
      </w:r>
      <w:r w:rsidRPr="00C27206">
        <w:rPr>
          <w:rFonts w:asciiTheme="majorBidi" w:hAnsiTheme="majorBidi" w:cstheme="majorBidi"/>
          <w:sz w:val="32"/>
          <w:szCs w:val="32"/>
          <w:rtl/>
        </w:rPr>
        <w:lastRenderedPageBreak/>
        <w:t xml:space="preserve">به متى رأت أن أوراق الدعوى وعناصرها كافية لتكوين عقيدتها أو أن هذا الإجراء غير منتج في الدعوى، فإن ما يثيره الطاعن بشأن التفات المحكمة عن طلبه </w:t>
      </w:r>
      <w:r w:rsidRPr="00C27206">
        <w:rPr>
          <w:rFonts w:asciiTheme="majorBidi" w:hAnsiTheme="majorBidi" w:cstheme="majorBidi"/>
          <w:sz w:val="32"/>
          <w:szCs w:val="32"/>
          <w:rtl/>
          <w:lang w:bidi="ar-AE"/>
        </w:rPr>
        <w:t xml:space="preserve">باستدعاء </w:t>
      </w:r>
      <w:r w:rsidRPr="00C27206">
        <w:rPr>
          <w:rFonts w:asciiTheme="majorBidi" w:hAnsiTheme="majorBidi" w:cstheme="majorBidi"/>
          <w:sz w:val="32"/>
          <w:szCs w:val="32"/>
          <w:rtl/>
        </w:rPr>
        <w:t>المجني عليها والزامها بتقديم الهاتف أو سؤالها عن تاريخ رسائل السب يكون غير قويم</w:t>
      </w:r>
      <w:bookmarkEnd w:id="3"/>
      <w:r w:rsidRPr="00C27206">
        <w:rPr>
          <w:rFonts w:asciiTheme="majorBidi" w:hAnsiTheme="majorBidi" w:cstheme="majorBidi"/>
          <w:sz w:val="32"/>
          <w:szCs w:val="32"/>
          <w:rtl/>
        </w:rPr>
        <w:t xml:space="preserve">. </w:t>
      </w:r>
      <w:bookmarkEnd w:id="4"/>
      <w:r w:rsidRPr="00C27206">
        <w:rPr>
          <w:rFonts w:asciiTheme="majorBidi" w:hAnsiTheme="majorBidi" w:cstheme="majorBidi"/>
          <w:sz w:val="32"/>
          <w:szCs w:val="32"/>
          <w:rtl/>
        </w:rPr>
        <w:t>لما كان ذلك وكان من المقرر أن كيدية الاتهام وتلفيقه من أوجه الدفاع الموضوعية التي لا تستوجب رداً صريحاً من الحكم بل إن الرد عليها يستفاد من أدلة الثبوت السائغة التي أوردها الحكم، ومن ثم فإن ما يثيره الطاعن في هذا الخصوص يكون غير مقبول. لما كان ما تقدم، فإن الطعن برمته يكون على غير أساس متعيناً رفضه موضوعاً مع مصادرة مبلغ التأمين</w:t>
      </w:r>
      <w:r w:rsidRPr="00C27206">
        <w:rPr>
          <w:rFonts w:asciiTheme="majorBidi" w:hAnsiTheme="majorBidi" w:cstheme="majorBidi"/>
          <w:sz w:val="32"/>
          <w:szCs w:val="32"/>
          <w:rtl/>
          <w:lang w:bidi="ar-AE"/>
        </w:rPr>
        <w:t>.</w:t>
      </w:r>
    </w:p>
    <w:bookmarkEnd w:id="2"/>
    <w:p w14:paraId="0E0AB03E" w14:textId="77777777" w:rsidR="007C5F18" w:rsidRPr="00945EA7" w:rsidRDefault="007C5F18" w:rsidP="007C5F18">
      <w:pPr>
        <w:spacing w:after="0" w:line="240" w:lineRule="auto"/>
        <w:jc w:val="both"/>
        <w:rPr>
          <w:rFonts w:ascii="Simplified Arabic" w:hAnsi="Simplified Arabic" w:cs="Simplified Arabic"/>
          <w:sz w:val="36"/>
          <w:szCs w:val="36"/>
          <w:lang w:bidi="ar-AE"/>
        </w:rPr>
      </w:pPr>
    </w:p>
    <w:sectPr w:rsidR="007C5F18" w:rsidRPr="00945EA7" w:rsidSect="000113B1">
      <w:headerReference w:type="default" r:id="rId9"/>
      <w:footerReference w:type="default" r:id="rId10"/>
      <w:footerReference w:type="first" r:id="rId11"/>
      <w:pgSz w:w="11906" w:h="16838"/>
      <w:pgMar w:top="360" w:right="1376" w:bottom="1170" w:left="1350" w:header="720" w:footer="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DC712" w14:textId="77777777" w:rsidR="006B5600" w:rsidRDefault="006B5600" w:rsidP="00C9323A">
      <w:pPr>
        <w:spacing w:after="0" w:line="240" w:lineRule="auto"/>
      </w:pPr>
      <w:r>
        <w:separator/>
      </w:r>
    </w:p>
  </w:endnote>
  <w:endnote w:type="continuationSeparator" w:id="0">
    <w:p w14:paraId="58AD5714" w14:textId="77777777" w:rsidR="006B5600" w:rsidRDefault="006B5600" w:rsidP="00C9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42144808"/>
      <w:docPartObj>
        <w:docPartGallery w:val="Page Numbers (Bottom of Page)"/>
        <w:docPartUnique/>
      </w:docPartObj>
    </w:sdtPr>
    <w:sdtEndPr>
      <w:rPr>
        <w:rFonts w:ascii="Simplified Arabic" w:hAnsi="Simplified Arabic" w:cs="Simplified Arabic"/>
        <w:b/>
        <w:bCs/>
        <w:sz w:val="32"/>
        <w:szCs w:val="32"/>
      </w:rPr>
    </w:sdtEndPr>
    <w:sdtContent>
      <w:p w14:paraId="4A9FE8FA" w14:textId="57BE5EAE" w:rsidR="00C9323A" w:rsidRPr="00D45225" w:rsidRDefault="00000000">
        <w:pPr>
          <w:pStyle w:val="Footer"/>
          <w:jc w:val="center"/>
          <w:rPr>
            <w:rFonts w:ascii="Simplified Arabic" w:hAnsi="Simplified Arabic" w:cs="Simplified Arabic"/>
            <w:b/>
            <w:bCs/>
            <w:sz w:val="32"/>
            <w:szCs w:val="32"/>
          </w:rPr>
        </w:pPr>
      </w:p>
    </w:sdtContent>
  </w:sdt>
  <w:p w14:paraId="73B9962F" w14:textId="77777777" w:rsidR="00C9323A" w:rsidRDefault="00C93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A60077" w14:textId="7550DC0E" w:rsidR="009A6F33" w:rsidRPr="009A6F33" w:rsidRDefault="009A6F33">
    <w:pPr>
      <w:pStyle w:val="Footer"/>
      <w:rPr>
        <w:sz w:val="28"/>
        <w:szCs w:val="28"/>
      </w:rPr>
    </w:pPr>
    <w:r w:rsidRPr="009A6F33">
      <w:rPr>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773C0" w14:textId="77777777" w:rsidR="006B5600" w:rsidRDefault="006B5600" w:rsidP="00C9323A">
      <w:pPr>
        <w:spacing w:after="0" w:line="240" w:lineRule="auto"/>
      </w:pPr>
      <w:r>
        <w:separator/>
      </w:r>
    </w:p>
  </w:footnote>
  <w:footnote w:type="continuationSeparator" w:id="0">
    <w:p w14:paraId="695F5C25" w14:textId="77777777" w:rsidR="006B5600" w:rsidRDefault="006B5600" w:rsidP="00C93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F8269" w14:textId="1B0AE5BC" w:rsidR="00C27206" w:rsidRPr="00C27206" w:rsidRDefault="00C27206" w:rsidP="00C27206">
    <w:pPr>
      <w:pStyle w:val="Header"/>
      <w:spacing w:line="360" w:lineRule="auto"/>
      <w:jc w:val="right"/>
      <w:rPr>
        <w:rFonts w:asciiTheme="majorBidi" w:hAnsiTheme="majorBidi" w:cstheme="majorBidi"/>
        <w:sz w:val="32"/>
        <w:szCs w:val="32"/>
        <w:lang w:bidi="ar-AE"/>
      </w:rPr>
    </w:pPr>
    <w:r>
      <w:rPr>
        <w:rFonts w:asciiTheme="majorBidi" w:hAnsiTheme="majorBidi" w:cstheme="majorBidi" w:hint="cs"/>
        <w:sz w:val="32"/>
        <w:szCs w:val="32"/>
        <w:rtl/>
        <w:lang w:bidi="ar-AE"/>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CC7EC5"/>
    <w:multiLevelType w:val="hybridMultilevel"/>
    <w:tmpl w:val="0FA0B2D4"/>
    <w:lvl w:ilvl="0" w:tplc="5776E23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1526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7D5"/>
    <w:rsid w:val="00003727"/>
    <w:rsid w:val="00004D2A"/>
    <w:rsid w:val="000113B1"/>
    <w:rsid w:val="0001654A"/>
    <w:rsid w:val="0002329B"/>
    <w:rsid w:val="00024E48"/>
    <w:rsid w:val="00027C19"/>
    <w:rsid w:val="00041164"/>
    <w:rsid w:val="00042290"/>
    <w:rsid w:val="00050A56"/>
    <w:rsid w:val="000533E6"/>
    <w:rsid w:val="0005451D"/>
    <w:rsid w:val="00064F35"/>
    <w:rsid w:val="0008307D"/>
    <w:rsid w:val="000836BD"/>
    <w:rsid w:val="000836F8"/>
    <w:rsid w:val="000863C5"/>
    <w:rsid w:val="000A08E2"/>
    <w:rsid w:val="000A09AB"/>
    <w:rsid w:val="000A19E5"/>
    <w:rsid w:val="000B3813"/>
    <w:rsid w:val="000B7E5D"/>
    <w:rsid w:val="000C1193"/>
    <w:rsid w:val="000D507D"/>
    <w:rsid w:val="000D61A4"/>
    <w:rsid w:val="000E013E"/>
    <w:rsid w:val="000E0726"/>
    <w:rsid w:val="000F2CC3"/>
    <w:rsid w:val="0010461F"/>
    <w:rsid w:val="00115FBE"/>
    <w:rsid w:val="00117C8F"/>
    <w:rsid w:val="001470D3"/>
    <w:rsid w:val="00150100"/>
    <w:rsid w:val="00170057"/>
    <w:rsid w:val="00170EE9"/>
    <w:rsid w:val="0017164C"/>
    <w:rsid w:val="0017306E"/>
    <w:rsid w:val="001824AC"/>
    <w:rsid w:val="00183A5B"/>
    <w:rsid w:val="0018481E"/>
    <w:rsid w:val="00185393"/>
    <w:rsid w:val="00194906"/>
    <w:rsid w:val="00195A02"/>
    <w:rsid w:val="00197572"/>
    <w:rsid w:val="001976FC"/>
    <w:rsid w:val="001A32E5"/>
    <w:rsid w:val="001A359E"/>
    <w:rsid w:val="001A52E7"/>
    <w:rsid w:val="001B2D40"/>
    <w:rsid w:val="001C16A8"/>
    <w:rsid w:val="001C2861"/>
    <w:rsid w:val="001C6F0F"/>
    <w:rsid w:val="001D5456"/>
    <w:rsid w:val="001E2415"/>
    <w:rsid w:val="001F0993"/>
    <w:rsid w:val="001F0DE9"/>
    <w:rsid w:val="001F317D"/>
    <w:rsid w:val="001F5E0D"/>
    <w:rsid w:val="00210B23"/>
    <w:rsid w:val="00216CB9"/>
    <w:rsid w:val="002171CE"/>
    <w:rsid w:val="0021793F"/>
    <w:rsid w:val="00224FBD"/>
    <w:rsid w:val="00230614"/>
    <w:rsid w:val="00233914"/>
    <w:rsid w:val="00240C7D"/>
    <w:rsid w:val="00245556"/>
    <w:rsid w:val="002464E8"/>
    <w:rsid w:val="00254FF4"/>
    <w:rsid w:val="00255998"/>
    <w:rsid w:val="00265B55"/>
    <w:rsid w:val="00273270"/>
    <w:rsid w:val="002771D1"/>
    <w:rsid w:val="002775D3"/>
    <w:rsid w:val="00286369"/>
    <w:rsid w:val="00287E75"/>
    <w:rsid w:val="002A4651"/>
    <w:rsid w:val="002A4D9D"/>
    <w:rsid w:val="002C301D"/>
    <w:rsid w:val="002C309F"/>
    <w:rsid w:val="002C3B55"/>
    <w:rsid w:val="002D0825"/>
    <w:rsid w:val="002D5B3D"/>
    <w:rsid w:val="002E3849"/>
    <w:rsid w:val="002E60F1"/>
    <w:rsid w:val="002F05C2"/>
    <w:rsid w:val="002F1BE1"/>
    <w:rsid w:val="002F5EE9"/>
    <w:rsid w:val="002F640C"/>
    <w:rsid w:val="00300059"/>
    <w:rsid w:val="003037EF"/>
    <w:rsid w:val="00304745"/>
    <w:rsid w:val="003067B9"/>
    <w:rsid w:val="003113A0"/>
    <w:rsid w:val="003119BD"/>
    <w:rsid w:val="003166A2"/>
    <w:rsid w:val="00322225"/>
    <w:rsid w:val="00326277"/>
    <w:rsid w:val="00330884"/>
    <w:rsid w:val="0033515E"/>
    <w:rsid w:val="00335EE4"/>
    <w:rsid w:val="0034162E"/>
    <w:rsid w:val="003435DC"/>
    <w:rsid w:val="003533DA"/>
    <w:rsid w:val="0035545E"/>
    <w:rsid w:val="0036453C"/>
    <w:rsid w:val="00372361"/>
    <w:rsid w:val="00377165"/>
    <w:rsid w:val="00377B7C"/>
    <w:rsid w:val="0038778D"/>
    <w:rsid w:val="003919ED"/>
    <w:rsid w:val="00392259"/>
    <w:rsid w:val="00392B95"/>
    <w:rsid w:val="00392F97"/>
    <w:rsid w:val="003939FA"/>
    <w:rsid w:val="003941C4"/>
    <w:rsid w:val="00396F06"/>
    <w:rsid w:val="0039795D"/>
    <w:rsid w:val="003A46E2"/>
    <w:rsid w:val="003A52AD"/>
    <w:rsid w:val="003A6568"/>
    <w:rsid w:val="003B009E"/>
    <w:rsid w:val="003C59D9"/>
    <w:rsid w:val="003C6EEB"/>
    <w:rsid w:val="003D629B"/>
    <w:rsid w:val="003E1E1C"/>
    <w:rsid w:val="003E453B"/>
    <w:rsid w:val="003F6B1C"/>
    <w:rsid w:val="00405327"/>
    <w:rsid w:val="00406993"/>
    <w:rsid w:val="00413CED"/>
    <w:rsid w:val="004276C3"/>
    <w:rsid w:val="00427DE5"/>
    <w:rsid w:val="00430FD3"/>
    <w:rsid w:val="00451FA3"/>
    <w:rsid w:val="00454F8F"/>
    <w:rsid w:val="0045594A"/>
    <w:rsid w:val="00455F73"/>
    <w:rsid w:val="00456270"/>
    <w:rsid w:val="0047021F"/>
    <w:rsid w:val="004741BD"/>
    <w:rsid w:val="00482BAA"/>
    <w:rsid w:val="004853F1"/>
    <w:rsid w:val="00490EC5"/>
    <w:rsid w:val="004A243D"/>
    <w:rsid w:val="004A245D"/>
    <w:rsid w:val="004C2ACD"/>
    <w:rsid w:val="004C45BB"/>
    <w:rsid w:val="004C6A62"/>
    <w:rsid w:val="004D0FF4"/>
    <w:rsid w:val="004D1CEA"/>
    <w:rsid w:val="004D1EE6"/>
    <w:rsid w:val="004E3299"/>
    <w:rsid w:val="004E35AF"/>
    <w:rsid w:val="004E3ACF"/>
    <w:rsid w:val="004E58FF"/>
    <w:rsid w:val="004F0647"/>
    <w:rsid w:val="004F13FE"/>
    <w:rsid w:val="004F5705"/>
    <w:rsid w:val="004F5A45"/>
    <w:rsid w:val="00500726"/>
    <w:rsid w:val="005012E4"/>
    <w:rsid w:val="00501C82"/>
    <w:rsid w:val="00501E38"/>
    <w:rsid w:val="00507A24"/>
    <w:rsid w:val="00510DBE"/>
    <w:rsid w:val="00513B6D"/>
    <w:rsid w:val="00516CF7"/>
    <w:rsid w:val="005463DF"/>
    <w:rsid w:val="00552C1F"/>
    <w:rsid w:val="005537C3"/>
    <w:rsid w:val="005542AD"/>
    <w:rsid w:val="00582665"/>
    <w:rsid w:val="00591FC2"/>
    <w:rsid w:val="005920D2"/>
    <w:rsid w:val="005945D5"/>
    <w:rsid w:val="005971D6"/>
    <w:rsid w:val="005A4833"/>
    <w:rsid w:val="005A5913"/>
    <w:rsid w:val="005A6546"/>
    <w:rsid w:val="005A71FB"/>
    <w:rsid w:val="005B0139"/>
    <w:rsid w:val="005B4347"/>
    <w:rsid w:val="005C0A54"/>
    <w:rsid w:val="005C103F"/>
    <w:rsid w:val="005D09A8"/>
    <w:rsid w:val="005D68FA"/>
    <w:rsid w:val="005E2957"/>
    <w:rsid w:val="005F2961"/>
    <w:rsid w:val="005F5CF1"/>
    <w:rsid w:val="00611E18"/>
    <w:rsid w:val="00620F05"/>
    <w:rsid w:val="006213E0"/>
    <w:rsid w:val="006313E4"/>
    <w:rsid w:val="0063169B"/>
    <w:rsid w:val="0064729C"/>
    <w:rsid w:val="00647EA6"/>
    <w:rsid w:val="006608D5"/>
    <w:rsid w:val="00676BA0"/>
    <w:rsid w:val="00676D63"/>
    <w:rsid w:val="00680892"/>
    <w:rsid w:val="006840FB"/>
    <w:rsid w:val="0068711A"/>
    <w:rsid w:val="0068741A"/>
    <w:rsid w:val="00691111"/>
    <w:rsid w:val="00692283"/>
    <w:rsid w:val="006A1CAF"/>
    <w:rsid w:val="006A2787"/>
    <w:rsid w:val="006A5FFD"/>
    <w:rsid w:val="006B1B33"/>
    <w:rsid w:val="006B3264"/>
    <w:rsid w:val="006B5600"/>
    <w:rsid w:val="006B739D"/>
    <w:rsid w:val="006C4DCA"/>
    <w:rsid w:val="006D2BDB"/>
    <w:rsid w:val="006D43C7"/>
    <w:rsid w:val="006D7EEC"/>
    <w:rsid w:val="006E437E"/>
    <w:rsid w:val="006F0890"/>
    <w:rsid w:val="006F4F3C"/>
    <w:rsid w:val="006F670F"/>
    <w:rsid w:val="00702501"/>
    <w:rsid w:val="007031C3"/>
    <w:rsid w:val="007262D2"/>
    <w:rsid w:val="007333FA"/>
    <w:rsid w:val="00733811"/>
    <w:rsid w:val="007351B9"/>
    <w:rsid w:val="00741C52"/>
    <w:rsid w:val="00744A05"/>
    <w:rsid w:val="00747256"/>
    <w:rsid w:val="00750426"/>
    <w:rsid w:val="0076175B"/>
    <w:rsid w:val="00762A4A"/>
    <w:rsid w:val="00765313"/>
    <w:rsid w:val="00770574"/>
    <w:rsid w:val="007729C0"/>
    <w:rsid w:val="00785835"/>
    <w:rsid w:val="00790198"/>
    <w:rsid w:val="007920A2"/>
    <w:rsid w:val="00796F90"/>
    <w:rsid w:val="007B5188"/>
    <w:rsid w:val="007B52D7"/>
    <w:rsid w:val="007B5F72"/>
    <w:rsid w:val="007C5F18"/>
    <w:rsid w:val="007D1296"/>
    <w:rsid w:val="007E1841"/>
    <w:rsid w:val="007E4407"/>
    <w:rsid w:val="007F508A"/>
    <w:rsid w:val="007F7A2D"/>
    <w:rsid w:val="0081033E"/>
    <w:rsid w:val="008112F4"/>
    <w:rsid w:val="00813E85"/>
    <w:rsid w:val="0081667F"/>
    <w:rsid w:val="0081669F"/>
    <w:rsid w:val="008303DE"/>
    <w:rsid w:val="00833124"/>
    <w:rsid w:val="00834C49"/>
    <w:rsid w:val="008400D6"/>
    <w:rsid w:val="0084300A"/>
    <w:rsid w:val="00863709"/>
    <w:rsid w:val="00864263"/>
    <w:rsid w:val="0087305B"/>
    <w:rsid w:val="00876B48"/>
    <w:rsid w:val="008803B9"/>
    <w:rsid w:val="008865AD"/>
    <w:rsid w:val="00897220"/>
    <w:rsid w:val="008A2B7F"/>
    <w:rsid w:val="008A58B2"/>
    <w:rsid w:val="008B0829"/>
    <w:rsid w:val="008B5B28"/>
    <w:rsid w:val="008B792C"/>
    <w:rsid w:val="008C2A81"/>
    <w:rsid w:val="008C2CDF"/>
    <w:rsid w:val="008C6983"/>
    <w:rsid w:val="008C6EBD"/>
    <w:rsid w:val="008D516D"/>
    <w:rsid w:val="008D77C2"/>
    <w:rsid w:val="008E30D2"/>
    <w:rsid w:val="008E3626"/>
    <w:rsid w:val="008E5802"/>
    <w:rsid w:val="008F2CEB"/>
    <w:rsid w:val="00902FD1"/>
    <w:rsid w:val="00923A72"/>
    <w:rsid w:val="00923E57"/>
    <w:rsid w:val="00924774"/>
    <w:rsid w:val="00924E56"/>
    <w:rsid w:val="0092777B"/>
    <w:rsid w:val="00931C8C"/>
    <w:rsid w:val="00944CB5"/>
    <w:rsid w:val="00945EA7"/>
    <w:rsid w:val="00947169"/>
    <w:rsid w:val="00953ADC"/>
    <w:rsid w:val="00955AA2"/>
    <w:rsid w:val="009726A1"/>
    <w:rsid w:val="009818C5"/>
    <w:rsid w:val="00983B30"/>
    <w:rsid w:val="00991D13"/>
    <w:rsid w:val="00992A0C"/>
    <w:rsid w:val="009A6788"/>
    <w:rsid w:val="009A6F33"/>
    <w:rsid w:val="009B2195"/>
    <w:rsid w:val="009B39D3"/>
    <w:rsid w:val="009B4220"/>
    <w:rsid w:val="009C2EC0"/>
    <w:rsid w:val="009C4B19"/>
    <w:rsid w:val="009C713A"/>
    <w:rsid w:val="009D57BA"/>
    <w:rsid w:val="009D64A7"/>
    <w:rsid w:val="009D77B3"/>
    <w:rsid w:val="009E006E"/>
    <w:rsid w:val="009E6D03"/>
    <w:rsid w:val="009F1B97"/>
    <w:rsid w:val="009F3876"/>
    <w:rsid w:val="009F3B7E"/>
    <w:rsid w:val="009F53B7"/>
    <w:rsid w:val="009F75E1"/>
    <w:rsid w:val="00A130A7"/>
    <w:rsid w:val="00A2627F"/>
    <w:rsid w:val="00A264C9"/>
    <w:rsid w:val="00A2793C"/>
    <w:rsid w:val="00A32922"/>
    <w:rsid w:val="00A33262"/>
    <w:rsid w:val="00A34513"/>
    <w:rsid w:val="00A3713A"/>
    <w:rsid w:val="00A418C0"/>
    <w:rsid w:val="00A419EA"/>
    <w:rsid w:val="00A46268"/>
    <w:rsid w:val="00A50E67"/>
    <w:rsid w:val="00A51E26"/>
    <w:rsid w:val="00A536B0"/>
    <w:rsid w:val="00A53BCC"/>
    <w:rsid w:val="00A54A4D"/>
    <w:rsid w:val="00A64C94"/>
    <w:rsid w:val="00A6661C"/>
    <w:rsid w:val="00A738F1"/>
    <w:rsid w:val="00A7398D"/>
    <w:rsid w:val="00A77051"/>
    <w:rsid w:val="00A773D6"/>
    <w:rsid w:val="00A8044D"/>
    <w:rsid w:val="00A82058"/>
    <w:rsid w:val="00A87117"/>
    <w:rsid w:val="00A9283E"/>
    <w:rsid w:val="00AA09A6"/>
    <w:rsid w:val="00AA4A5A"/>
    <w:rsid w:val="00AA5F61"/>
    <w:rsid w:val="00AB44FC"/>
    <w:rsid w:val="00AD268E"/>
    <w:rsid w:val="00AD2BBB"/>
    <w:rsid w:val="00AD5DBF"/>
    <w:rsid w:val="00AE3775"/>
    <w:rsid w:val="00B04918"/>
    <w:rsid w:val="00B06314"/>
    <w:rsid w:val="00B11042"/>
    <w:rsid w:val="00B135B4"/>
    <w:rsid w:val="00B20FD1"/>
    <w:rsid w:val="00B248C3"/>
    <w:rsid w:val="00B322C5"/>
    <w:rsid w:val="00B403A1"/>
    <w:rsid w:val="00B53006"/>
    <w:rsid w:val="00B54942"/>
    <w:rsid w:val="00B5569E"/>
    <w:rsid w:val="00B600A2"/>
    <w:rsid w:val="00B60C24"/>
    <w:rsid w:val="00B62E20"/>
    <w:rsid w:val="00B7222A"/>
    <w:rsid w:val="00B81755"/>
    <w:rsid w:val="00B956E7"/>
    <w:rsid w:val="00BC16BD"/>
    <w:rsid w:val="00BC4844"/>
    <w:rsid w:val="00BC5081"/>
    <w:rsid w:val="00BD29F1"/>
    <w:rsid w:val="00BE7271"/>
    <w:rsid w:val="00BF1363"/>
    <w:rsid w:val="00BF2F91"/>
    <w:rsid w:val="00C25934"/>
    <w:rsid w:val="00C27206"/>
    <w:rsid w:val="00C30ABD"/>
    <w:rsid w:val="00C33A8E"/>
    <w:rsid w:val="00C36742"/>
    <w:rsid w:val="00C46E33"/>
    <w:rsid w:val="00C52B7A"/>
    <w:rsid w:val="00C61DFC"/>
    <w:rsid w:val="00C630CC"/>
    <w:rsid w:val="00C65075"/>
    <w:rsid w:val="00C70707"/>
    <w:rsid w:val="00C74AE8"/>
    <w:rsid w:val="00C9323A"/>
    <w:rsid w:val="00C9700F"/>
    <w:rsid w:val="00CA2653"/>
    <w:rsid w:val="00CA309E"/>
    <w:rsid w:val="00CA6D01"/>
    <w:rsid w:val="00CB6D36"/>
    <w:rsid w:val="00CC1741"/>
    <w:rsid w:val="00CC291E"/>
    <w:rsid w:val="00CC3377"/>
    <w:rsid w:val="00CD195E"/>
    <w:rsid w:val="00CD3F52"/>
    <w:rsid w:val="00CD594A"/>
    <w:rsid w:val="00CD7139"/>
    <w:rsid w:val="00CE15A0"/>
    <w:rsid w:val="00CE15E5"/>
    <w:rsid w:val="00CE3A53"/>
    <w:rsid w:val="00CF1615"/>
    <w:rsid w:val="00CF26A5"/>
    <w:rsid w:val="00CF633F"/>
    <w:rsid w:val="00CF7A18"/>
    <w:rsid w:val="00D13496"/>
    <w:rsid w:val="00D253DF"/>
    <w:rsid w:val="00D45225"/>
    <w:rsid w:val="00D5241C"/>
    <w:rsid w:val="00D530CA"/>
    <w:rsid w:val="00D71753"/>
    <w:rsid w:val="00D73F9D"/>
    <w:rsid w:val="00D7730F"/>
    <w:rsid w:val="00D81BDE"/>
    <w:rsid w:val="00D835F5"/>
    <w:rsid w:val="00D91705"/>
    <w:rsid w:val="00DA408F"/>
    <w:rsid w:val="00DB3648"/>
    <w:rsid w:val="00DB36A6"/>
    <w:rsid w:val="00DB4B2F"/>
    <w:rsid w:val="00DB5FA1"/>
    <w:rsid w:val="00DB77A6"/>
    <w:rsid w:val="00DB7881"/>
    <w:rsid w:val="00DD6924"/>
    <w:rsid w:val="00DE0CDD"/>
    <w:rsid w:val="00DE0F80"/>
    <w:rsid w:val="00DE15ED"/>
    <w:rsid w:val="00DE31A9"/>
    <w:rsid w:val="00E057D8"/>
    <w:rsid w:val="00E10544"/>
    <w:rsid w:val="00E1416D"/>
    <w:rsid w:val="00E21F64"/>
    <w:rsid w:val="00E231EC"/>
    <w:rsid w:val="00E33F52"/>
    <w:rsid w:val="00E34412"/>
    <w:rsid w:val="00E405CE"/>
    <w:rsid w:val="00E40D15"/>
    <w:rsid w:val="00E454A1"/>
    <w:rsid w:val="00E456C5"/>
    <w:rsid w:val="00E505BD"/>
    <w:rsid w:val="00E5197E"/>
    <w:rsid w:val="00E53642"/>
    <w:rsid w:val="00E553A8"/>
    <w:rsid w:val="00E57E32"/>
    <w:rsid w:val="00E63EFB"/>
    <w:rsid w:val="00E721DF"/>
    <w:rsid w:val="00E77524"/>
    <w:rsid w:val="00E81179"/>
    <w:rsid w:val="00E8295B"/>
    <w:rsid w:val="00E83124"/>
    <w:rsid w:val="00E85F22"/>
    <w:rsid w:val="00E91BD9"/>
    <w:rsid w:val="00E967B1"/>
    <w:rsid w:val="00EA45FC"/>
    <w:rsid w:val="00EA5BC3"/>
    <w:rsid w:val="00EA6F5E"/>
    <w:rsid w:val="00EB04B7"/>
    <w:rsid w:val="00EB1B4A"/>
    <w:rsid w:val="00EB4F54"/>
    <w:rsid w:val="00EC213B"/>
    <w:rsid w:val="00EC253B"/>
    <w:rsid w:val="00EC28D6"/>
    <w:rsid w:val="00EE050E"/>
    <w:rsid w:val="00EF2D53"/>
    <w:rsid w:val="00F008F1"/>
    <w:rsid w:val="00F01279"/>
    <w:rsid w:val="00F01F96"/>
    <w:rsid w:val="00F0398F"/>
    <w:rsid w:val="00F05668"/>
    <w:rsid w:val="00F0643C"/>
    <w:rsid w:val="00F06D14"/>
    <w:rsid w:val="00F109CE"/>
    <w:rsid w:val="00F137D4"/>
    <w:rsid w:val="00F203D3"/>
    <w:rsid w:val="00F20904"/>
    <w:rsid w:val="00F24A65"/>
    <w:rsid w:val="00F32213"/>
    <w:rsid w:val="00F34F54"/>
    <w:rsid w:val="00F37E2B"/>
    <w:rsid w:val="00F4670A"/>
    <w:rsid w:val="00F5558F"/>
    <w:rsid w:val="00F61FCF"/>
    <w:rsid w:val="00F62BB6"/>
    <w:rsid w:val="00F7238F"/>
    <w:rsid w:val="00F72504"/>
    <w:rsid w:val="00F81117"/>
    <w:rsid w:val="00F85C82"/>
    <w:rsid w:val="00F90C7E"/>
    <w:rsid w:val="00FA26DE"/>
    <w:rsid w:val="00FC27D5"/>
    <w:rsid w:val="00FC3A40"/>
    <w:rsid w:val="00FD3520"/>
    <w:rsid w:val="00FE019B"/>
    <w:rsid w:val="00FE7018"/>
    <w:rsid w:val="00FF4FFB"/>
    <w:rsid w:val="00FF7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09663"/>
  <w15:chartTrackingRefBased/>
  <w15:docId w15:val="{8C4504EB-5C36-49E7-933C-F8365DEB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7D5"/>
    <w:pPr>
      <w:bidi/>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23A"/>
  </w:style>
  <w:style w:type="paragraph" w:styleId="Footer">
    <w:name w:val="footer"/>
    <w:basedOn w:val="Normal"/>
    <w:link w:val="FooterChar"/>
    <w:uiPriority w:val="99"/>
    <w:unhideWhenUsed/>
    <w:rsid w:val="00C93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23A"/>
  </w:style>
  <w:style w:type="paragraph" w:styleId="BalloonText">
    <w:name w:val="Balloon Text"/>
    <w:basedOn w:val="Normal"/>
    <w:link w:val="BalloonTextChar"/>
    <w:uiPriority w:val="99"/>
    <w:semiHidden/>
    <w:unhideWhenUsed/>
    <w:rsid w:val="00C9323A"/>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C9323A"/>
    <w:rPr>
      <w:rFonts w:ascii="Tahoma" w:hAnsi="Tahoma" w:cs="Tahoma"/>
      <w:sz w:val="18"/>
      <w:szCs w:val="18"/>
    </w:rPr>
  </w:style>
  <w:style w:type="character" w:styleId="CommentReference">
    <w:name w:val="annotation reference"/>
    <w:basedOn w:val="DefaultParagraphFont"/>
    <w:uiPriority w:val="99"/>
    <w:semiHidden/>
    <w:unhideWhenUsed/>
    <w:rsid w:val="001F0993"/>
    <w:rPr>
      <w:sz w:val="16"/>
      <w:szCs w:val="16"/>
    </w:rPr>
  </w:style>
  <w:style w:type="paragraph" w:styleId="CommentText">
    <w:name w:val="annotation text"/>
    <w:basedOn w:val="Normal"/>
    <w:link w:val="CommentTextChar"/>
    <w:uiPriority w:val="99"/>
    <w:semiHidden/>
    <w:unhideWhenUsed/>
    <w:rsid w:val="001F0993"/>
    <w:pPr>
      <w:spacing w:line="240" w:lineRule="auto"/>
    </w:pPr>
    <w:rPr>
      <w:sz w:val="20"/>
      <w:szCs w:val="20"/>
    </w:rPr>
  </w:style>
  <w:style w:type="character" w:customStyle="1" w:styleId="CommentTextChar">
    <w:name w:val="Comment Text Char"/>
    <w:basedOn w:val="DefaultParagraphFont"/>
    <w:link w:val="CommentText"/>
    <w:uiPriority w:val="99"/>
    <w:semiHidden/>
    <w:rsid w:val="001F0993"/>
    <w:rPr>
      <w:sz w:val="20"/>
      <w:szCs w:val="20"/>
    </w:rPr>
  </w:style>
  <w:style w:type="paragraph" w:styleId="CommentSubject">
    <w:name w:val="annotation subject"/>
    <w:basedOn w:val="CommentText"/>
    <w:next w:val="CommentText"/>
    <w:link w:val="CommentSubjectChar"/>
    <w:uiPriority w:val="99"/>
    <w:semiHidden/>
    <w:unhideWhenUsed/>
    <w:rsid w:val="001F0993"/>
    <w:rPr>
      <w:b/>
      <w:bCs/>
    </w:rPr>
  </w:style>
  <w:style w:type="character" w:customStyle="1" w:styleId="CommentSubjectChar">
    <w:name w:val="Comment Subject Char"/>
    <w:basedOn w:val="CommentTextChar"/>
    <w:link w:val="CommentSubject"/>
    <w:uiPriority w:val="99"/>
    <w:semiHidden/>
    <w:rsid w:val="001F0993"/>
    <w:rPr>
      <w:b/>
      <w:bCs/>
      <w:sz w:val="20"/>
      <w:szCs w:val="20"/>
    </w:rPr>
  </w:style>
  <w:style w:type="paragraph" w:styleId="ListParagraph">
    <w:name w:val="List Paragraph"/>
    <w:basedOn w:val="Normal"/>
    <w:uiPriority w:val="34"/>
    <w:qFormat/>
    <w:rsid w:val="00991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280296">
      <w:bodyDiv w:val="1"/>
      <w:marLeft w:val="0"/>
      <w:marRight w:val="0"/>
      <w:marTop w:val="0"/>
      <w:marBottom w:val="0"/>
      <w:divBdr>
        <w:top w:val="none" w:sz="0" w:space="0" w:color="auto"/>
        <w:left w:val="none" w:sz="0" w:space="0" w:color="auto"/>
        <w:bottom w:val="none" w:sz="0" w:space="0" w:color="auto"/>
        <w:right w:val="none" w:sz="0" w:space="0" w:color="auto"/>
      </w:divBdr>
    </w:div>
    <w:div w:id="276722486">
      <w:bodyDiv w:val="1"/>
      <w:marLeft w:val="0"/>
      <w:marRight w:val="0"/>
      <w:marTop w:val="0"/>
      <w:marBottom w:val="0"/>
      <w:divBdr>
        <w:top w:val="none" w:sz="0" w:space="0" w:color="auto"/>
        <w:left w:val="none" w:sz="0" w:space="0" w:color="auto"/>
        <w:bottom w:val="none" w:sz="0" w:space="0" w:color="auto"/>
        <w:right w:val="none" w:sz="0" w:space="0" w:color="auto"/>
      </w:divBdr>
    </w:div>
    <w:div w:id="406921800">
      <w:bodyDiv w:val="1"/>
      <w:marLeft w:val="0"/>
      <w:marRight w:val="0"/>
      <w:marTop w:val="0"/>
      <w:marBottom w:val="0"/>
      <w:divBdr>
        <w:top w:val="none" w:sz="0" w:space="0" w:color="auto"/>
        <w:left w:val="none" w:sz="0" w:space="0" w:color="auto"/>
        <w:bottom w:val="none" w:sz="0" w:space="0" w:color="auto"/>
        <w:right w:val="none" w:sz="0" w:space="0" w:color="auto"/>
      </w:divBdr>
    </w:div>
    <w:div w:id="585650450">
      <w:bodyDiv w:val="1"/>
      <w:marLeft w:val="0"/>
      <w:marRight w:val="0"/>
      <w:marTop w:val="0"/>
      <w:marBottom w:val="0"/>
      <w:divBdr>
        <w:top w:val="none" w:sz="0" w:space="0" w:color="auto"/>
        <w:left w:val="none" w:sz="0" w:space="0" w:color="auto"/>
        <w:bottom w:val="none" w:sz="0" w:space="0" w:color="auto"/>
        <w:right w:val="none" w:sz="0" w:space="0" w:color="auto"/>
      </w:divBdr>
    </w:div>
    <w:div w:id="701903382">
      <w:bodyDiv w:val="1"/>
      <w:marLeft w:val="0"/>
      <w:marRight w:val="0"/>
      <w:marTop w:val="0"/>
      <w:marBottom w:val="0"/>
      <w:divBdr>
        <w:top w:val="none" w:sz="0" w:space="0" w:color="auto"/>
        <w:left w:val="none" w:sz="0" w:space="0" w:color="auto"/>
        <w:bottom w:val="none" w:sz="0" w:space="0" w:color="auto"/>
        <w:right w:val="none" w:sz="0" w:space="0" w:color="auto"/>
      </w:divBdr>
    </w:div>
    <w:div w:id="734546843">
      <w:bodyDiv w:val="1"/>
      <w:marLeft w:val="0"/>
      <w:marRight w:val="0"/>
      <w:marTop w:val="0"/>
      <w:marBottom w:val="0"/>
      <w:divBdr>
        <w:top w:val="none" w:sz="0" w:space="0" w:color="auto"/>
        <w:left w:val="none" w:sz="0" w:space="0" w:color="auto"/>
        <w:bottom w:val="none" w:sz="0" w:space="0" w:color="auto"/>
        <w:right w:val="none" w:sz="0" w:space="0" w:color="auto"/>
      </w:divBdr>
    </w:div>
    <w:div w:id="977103381">
      <w:bodyDiv w:val="1"/>
      <w:marLeft w:val="0"/>
      <w:marRight w:val="0"/>
      <w:marTop w:val="0"/>
      <w:marBottom w:val="0"/>
      <w:divBdr>
        <w:top w:val="none" w:sz="0" w:space="0" w:color="auto"/>
        <w:left w:val="none" w:sz="0" w:space="0" w:color="auto"/>
        <w:bottom w:val="none" w:sz="0" w:space="0" w:color="auto"/>
        <w:right w:val="none" w:sz="0" w:space="0" w:color="auto"/>
      </w:divBdr>
    </w:div>
    <w:div w:id="1018233136">
      <w:bodyDiv w:val="1"/>
      <w:marLeft w:val="0"/>
      <w:marRight w:val="0"/>
      <w:marTop w:val="0"/>
      <w:marBottom w:val="0"/>
      <w:divBdr>
        <w:top w:val="none" w:sz="0" w:space="0" w:color="auto"/>
        <w:left w:val="none" w:sz="0" w:space="0" w:color="auto"/>
        <w:bottom w:val="none" w:sz="0" w:space="0" w:color="auto"/>
        <w:right w:val="none" w:sz="0" w:space="0" w:color="auto"/>
      </w:divBdr>
    </w:div>
    <w:div w:id="1439913790">
      <w:bodyDiv w:val="1"/>
      <w:marLeft w:val="0"/>
      <w:marRight w:val="0"/>
      <w:marTop w:val="0"/>
      <w:marBottom w:val="0"/>
      <w:divBdr>
        <w:top w:val="none" w:sz="0" w:space="0" w:color="auto"/>
        <w:left w:val="none" w:sz="0" w:space="0" w:color="auto"/>
        <w:bottom w:val="none" w:sz="0" w:space="0" w:color="auto"/>
        <w:right w:val="none" w:sz="0" w:space="0" w:color="auto"/>
      </w:divBdr>
    </w:div>
    <w:div w:id="1452240112">
      <w:bodyDiv w:val="1"/>
      <w:marLeft w:val="0"/>
      <w:marRight w:val="0"/>
      <w:marTop w:val="0"/>
      <w:marBottom w:val="0"/>
      <w:divBdr>
        <w:top w:val="none" w:sz="0" w:space="0" w:color="auto"/>
        <w:left w:val="none" w:sz="0" w:space="0" w:color="auto"/>
        <w:bottom w:val="none" w:sz="0" w:space="0" w:color="auto"/>
        <w:right w:val="none" w:sz="0" w:space="0" w:color="auto"/>
      </w:divBdr>
    </w:div>
    <w:div w:id="1657416296">
      <w:bodyDiv w:val="1"/>
      <w:marLeft w:val="0"/>
      <w:marRight w:val="0"/>
      <w:marTop w:val="0"/>
      <w:marBottom w:val="0"/>
      <w:divBdr>
        <w:top w:val="none" w:sz="0" w:space="0" w:color="auto"/>
        <w:left w:val="none" w:sz="0" w:space="0" w:color="auto"/>
        <w:bottom w:val="none" w:sz="0" w:space="0" w:color="auto"/>
        <w:right w:val="none" w:sz="0" w:space="0" w:color="auto"/>
      </w:divBdr>
    </w:div>
    <w:div w:id="1801069910">
      <w:bodyDiv w:val="1"/>
      <w:marLeft w:val="0"/>
      <w:marRight w:val="0"/>
      <w:marTop w:val="0"/>
      <w:marBottom w:val="0"/>
      <w:divBdr>
        <w:top w:val="none" w:sz="0" w:space="0" w:color="auto"/>
        <w:left w:val="none" w:sz="0" w:space="0" w:color="auto"/>
        <w:bottom w:val="none" w:sz="0" w:space="0" w:color="auto"/>
        <w:right w:val="none" w:sz="0" w:space="0" w:color="auto"/>
      </w:divBdr>
    </w:div>
    <w:div w:id="1824664621">
      <w:bodyDiv w:val="1"/>
      <w:marLeft w:val="0"/>
      <w:marRight w:val="0"/>
      <w:marTop w:val="0"/>
      <w:marBottom w:val="0"/>
      <w:divBdr>
        <w:top w:val="none" w:sz="0" w:space="0" w:color="auto"/>
        <w:left w:val="none" w:sz="0" w:space="0" w:color="auto"/>
        <w:bottom w:val="none" w:sz="0" w:space="0" w:color="auto"/>
        <w:right w:val="none" w:sz="0" w:space="0" w:color="auto"/>
      </w:divBdr>
    </w:div>
    <w:div w:id="1896113817">
      <w:bodyDiv w:val="1"/>
      <w:marLeft w:val="0"/>
      <w:marRight w:val="0"/>
      <w:marTop w:val="0"/>
      <w:marBottom w:val="0"/>
      <w:divBdr>
        <w:top w:val="none" w:sz="0" w:space="0" w:color="auto"/>
        <w:left w:val="none" w:sz="0" w:space="0" w:color="auto"/>
        <w:bottom w:val="none" w:sz="0" w:space="0" w:color="auto"/>
        <w:right w:val="none" w:sz="0" w:space="0" w:color="auto"/>
      </w:divBdr>
    </w:div>
    <w:div w:id="2061853513">
      <w:bodyDiv w:val="1"/>
      <w:marLeft w:val="0"/>
      <w:marRight w:val="0"/>
      <w:marTop w:val="0"/>
      <w:marBottom w:val="0"/>
      <w:divBdr>
        <w:top w:val="none" w:sz="0" w:space="0" w:color="auto"/>
        <w:left w:val="none" w:sz="0" w:space="0" w:color="auto"/>
        <w:bottom w:val="none" w:sz="0" w:space="0" w:color="auto"/>
        <w:right w:val="none" w:sz="0" w:space="0" w:color="auto"/>
      </w:divBdr>
    </w:div>
    <w:div w:id="212680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DBBDFA0C-D548-48C0-9464-5E54DE34A46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3977</TotalTime>
  <Pages>5</Pages>
  <Words>1277</Words>
  <Characters>7284</Characters>
  <Application>Microsoft Office Word</Application>
  <DocSecurity>0</DocSecurity>
  <Lines>60</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ليلى محمد سليم الشكيلي</cp:lastModifiedBy>
  <cp:revision>390</cp:revision>
  <cp:lastPrinted>2025-11-13T03:47:00Z</cp:lastPrinted>
  <dcterms:created xsi:type="dcterms:W3CDTF">2021-01-09T07:02:00Z</dcterms:created>
  <dcterms:modified xsi:type="dcterms:W3CDTF">2025-11-13T03:47:00Z</dcterms:modified>
</cp:coreProperties>
</file>