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D5A0C2" w14:textId="453DD0E8" w:rsidR="0050476F" w:rsidRDefault="0050476F" w:rsidP="00BC4AB7">
      <w:pPr>
        <w:pStyle w:val="Heading4"/>
        <w:rPr>
          <w:rFonts w:cs="DecoType Naskh Swashes" w:hint="cs"/>
          <w:b/>
          <w:bCs/>
          <w:sz w:val="36"/>
          <w:szCs w:val="36"/>
          <w:u w:val="single"/>
        </w:rPr>
      </w:pPr>
    </w:p>
    <w:p w14:paraId="3E348B94" w14:textId="11FDD0BF" w:rsidR="004804AE" w:rsidRPr="00A47FBA" w:rsidRDefault="00F6239B" w:rsidP="00F6239B">
      <w:pPr>
        <w:ind w:firstLine="360"/>
        <w:jc w:val="center"/>
        <w:rPr>
          <w:rtl/>
        </w:rPr>
      </w:pPr>
      <w:r w:rsidRPr="00F6239B">
        <w:rPr>
          <w:rFonts w:ascii="Calibri" w:eastAsia="Calibri" w:hAnsi="Calibri" w:cs="Arial"/>
          <w:noProof/>
          <w:sz w:val="22"/>
          <w:szCs w:val="22"/>
          <w:lang w:eastAsia="en-US" w:bidi="ar-SA"/>
        </w:rPr>
        <w:drawing>
          <wp:inline distT="0" distB="0" distL="0" distR="0" wp14:anchorId="513DE868" wp14:editId="313142B8">
            <wp:extent cx="5273040" cy="815340"/>
            <wp:effectExtent l="0" t="0" r="3810" b="381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5478" r="9321" b="11726"/>
                    <a:stretch>
                      <a:fillRect/>
                    </a:stretch>
                  </pic:blipFill>
                  <pic:spPr bwMode="auto">
                    <a:xfrm>
                      <a:off x="0" y="0"/>
                      <a:ext cx="5275970" cy="815793"/>
                    </a:xfrm>
                    <a:prstGeom prst="rect">
                      <a:avLst/>
                    </a:prstGeom>
                    <a:noFill/>
                    <a:ln>
                      <a:noFill/>
                    </a:ln>
                    <a:extLst>
                      <a:ext uri="{53640926-AAD7-44D8-BBD7-CCE9431645EC}">
                        <a14:shadowObscured xmlns:a14="http://schemas.microsoft.com/office/drawing/2010/main"/>
                      </a:ext>
                    </a:extLst>
                  </pic:spPr>
                </pic:pic>
              </a:graphicData>
            </a:graphic>
          </wp:inline>
        </w:drawing>
      </w:r>
    </w:p>
    <w:p w14:paraId="6332D909" w14:textId="77777777" w:rsidR="00F6239B" w:rsidRPr="00F6239B" w:rsidRDefault="00F6239B" w:rsidP="0050476F">
      <w:pPr>
        <w:pStyle w:val="Heading4"/>
        <w:jc w:val="center"/>
        <w:rPr>
          <w:rFonts w:cs="PT Bold Heading"/>
          <w:b/>
          <w:bCs/>
          <w:sz w:val="8"/>
          <w:szCs w:val="8"/>
          <w:u w:val="single"/>
          <w:rtl/>
        </w:rPr>
      </w:pPr>
    </w:p>
    <w:p w14:paraId="76736433" w14:textId="51D4C9E0" w:rsidR="00F6239B" w:rsidRPr="00F6239B" w:rsidRDefault="00F6239B" w:rsidP="00F6239B">
      <w:pPr>
        <w:spacing w:line="360" w:lineRule="auto"/>
        <w:jc w:val="center"/>
        <w:rPr>
          <w:rFonts w:ascii="Times New Roman" w:hAnsi="Times New Roman" w:cs="Times New Roman"/>
          <w:b/>
          <w:bCs/>
          <w:noProof/>
          <w:sz w:val="52"/>
          <w:szCs w:val="36"/>
          <w:lang w:eastAsia="en-US" w:bidi="ar-SA"/>
        </w:rPr>
      </w:pPr>
      <w:bookmarkStart w:id="0" w:name="_Hlk188878093"/>
      <w:r w:rsidRPr="00F6239B">
        <w:rPr>
          <w:rFonts w:ascii="Times New Roman" w:hAnsi="Times New Roman" w:cs="Times New Roman"/>
          <w:b/>
          <w:bCs/>
          <w:noProof/>
          <w:sz w:val="52"/>
          <w:szCs w:val="36"/>
          <w:rtl/>
          <w:lang w:eastAsia="en-US" w:bidi="ar-SA"/>
        </w:rPr>
        <w:t xml:space="preserve">جلسة الثلاثاء الموافق </w:t>
      </w:r>
      <w:r>
        <w:rPr>
          <w:rFonts w:ascii="Times New Roman" w:hAnsi="Times New Roman" w:cs="Times New Roman" w:hint="cs"/>
          <w:b/>
          <w:bCs/>
          <w:noProof/>
          <w:sz w:val="52"/>
          <w:szCs w:val="36"/>
          <w:rtl/>
          <w:lang w:eastAsia="en-US" w:bidi="ar-SA"/>
        </w:rPr>
        <w:t>26</w:t>
      </w:r>
      <w:r w:rsidRPr="00F6239B">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bidi="ar-SA"/>
        </w:rPr>
        <w:t>أغسطس</w:t>
      </w:r>
      <w:r w:rsidRPr="00F6239B">
        <w:rPr>
          <w:rFonts w:ascii="Times New Roman" w:hAnsi="Times New Roman" w:cs="Times New Roman"/>
          <w:b/>
          <w:bCs/>
          <w:noProof/>
          <w:sz w:val="52"/>
          <w:szCs w:val="36"/>
          <w:rtl/>
          <w:lang w:eastAsia="en-US" w:bidi="ar-SA"/>
        </w:rPr>
        <w:t xml:space="preserve"> سنة </w:t>
      </w:r>
      <w:r>
        <w:rPr>
          <w:rFonts w:ascii="Times New Roman" w:hAnsi="Times New Roman" w:cs="Times New Roman" w:hint="cs"/>
          <w:b/>
          <w:bCs/>
          <w:noProof/>
          <w:sz w:val="52"/>
          <w:szCs w:val="36"/>
          <w:rtl/>
          <w:lang w:eastAsia="en-US" w:bidi="ar-SA"/>
        </w:rPr>
        <w:t>2025</w:t>
      </w:r>
    </w:p>
    <w:p w14:paraId="43D7F56F" w14:textId="77777777" w:rsidR="00F6239B" w:rsidRPr="00F6239B" w:rsidRDefault="00F6239B" w:rsidP="00F6239B">
      <w:pPr>
        <w:spacing w:line="360" w:lineRule="auto"/>
        <w:jc w:val="center"/>
        <w:rPr>
          <w:rFonts w:ascii="Times New Roman" w:hAnsi="Times New Roman" w:cs="Times New Roman"/>
          <w:noProof/>
          <w:sz w:val="32"/>
          <w:lang w:eastAsia="en-US" w:bidi="ar-SA"/>
        </w:rPr>
      </w:pPr>
      <w:r w:rsidRPr="00F6239B">
        <w:rPr>
          <w:rFonts w:ascii="Times New Roman" w:hAnsi="Times New Roman" w:cs="Times New Roman"/>
          <w:noProof/>
          <w:sz w:val="32"/>
          <w:rtl/>
          <w:lang w:eastAsia="en-US" w:bidi="ar-SA"/>
        </w:rPr>
        <w:t>برئاسة السيد القاضي / محمد عبد الرحمن الجراح "رئيس الدائرة"</w:t>
      </w:r>
    </w:p>
    <w:p w14:paraId="4EEF755F" w14:textId="77777777" w:rsidR="00F6239B" w:rsidRPr="00F6239B" w:rsidRDefault="00F6239B" w:rsidP="00F6239B">
      <w:pPr>
        <w:spacing w:line="360" w:lineRule="auto"/>
        <w:jc w:val="center"/>
        <w:rPr>
          <w:rFonts w:ascii="Times New Roman" w:hAnsi="Times New Roman" w:cs="Times New Roman"/>
          <w:noProof/>
          <w:spacing w:val="-6"/>
          <w:sz w:val="32"/>
          <w:lang w:eastAsia="en-US" w:bidi="ar-SA"/>
        </w:rPr>
      </w:pPr>
      <w:r w:rsidRPr="00F6239B">
        <w:rPr>
          <w:rFonts w:ascii="Times New Roman" w:hAnsi="Times New Roman" w:cs="Times New Roman"/>
          <w:noProof/>
          <w:sz w:val="32"/>
          <w:rtl/>
          <w:lang w:eastAsia="en-US" w:bidi="ar-SA"/>
        </w:rPr>
        <w:t xml:space="preserve"> </w:t>
      </w:r>
      <w:r w:rsidRPr="00F6239B">
        <w:rPr>
          <w:rFonts w:ascii="Times New Roman" w:hAnsi="Times New Roman" w:cs="Times New Roman" w:hint="cs"/>
          <w:noProof/>
          <w:spacing w:val="-6"/>
          <w:sz w:val="32"/>
          <w:rtl/>
          <w:lang w:eastAsia="en-US" w:bidi="ar-SA"/>
        </w:rPr>
        <w:t>وعضوية السادة القضاة / خالد مصطفى حسن وإسلام عبد الهادي الديب.</w:t>
      </w:r>
    </w:p>
    <w:p w14:paraId="53769361" w14:textId="77777777" w:rsidR="00F6239B" w:rsidRPr="00F6239B" w:rsidRDefault="00F6239B" w:rsidP="00F6239B">
      <w:pPr>
        <w:tabs>
          <w:tab w:val="left" w:pos="5300"/>
        </w:tabs>
        <w:spacing w:line="360" w:lineRule="auto"/>
        <w:jc w:val="center"/>
        <w:rPr>
          <w:rFonts w:ascii="Times New Roman" w:hAnsi="Times New Roman" w:cs="Times New Roman"/>
          <w:b/>
          <w:bCs/>
          <w:noProof/>
          <w:sz w:val="36"/>
          <w:szCs w:val="36"/>
          <w:lang w:eastAsia="en-US" w:bidi="ar-SA"/>
        </w:rPr>
      </w:pPr>
      <w:r w:rsidRPr="00F6239B">
        <w:rPr>
          <w:rFonts w:ascii="Times New Roman" w:hAnsi="Times New Roman" w:cs="Times New Roman"/>
          <w:b/>
          <w:bCs/>
          <w:noProof/>
          <w:sz w:val="36"/>
          <w:szCs w:val="36"/>
          <w:rtl/>
          <w:lang w:eastAsia="en-US" w:bidi="ar-SA"/>
        </w:rPr>
        <w:t>(    )</w:t>
      </w:r>
    </w:p>
    <w:p w14:paraId="0700D03A" w14:textId="0F6FC516" w:rsidR="00F6239B" w:rsidRPr="00F6239B" w:rsidRDefault="00F6239B" w:rsidP="00F6239B">
      <w:pPr>
        <w:spacing w:line="360" w:lineRule="auto"/>
        <w:jc w:val="center"/>
        <w:rPr>
          <w:rFonts w:ascii="Times New Roman" w:hAnsi="Times New Roman" w:cs="Times New Roman"/>
          <w:b/>
          <w:bCs/>
          <w:noProof/>
          <w:sz w:val="36"/>
          <w:szCs w:val="36"/>
          <w:rtl/>
          <w:lang w:eastAsia="en-US" w:bidi="ar-SA"/>
        </w:rPr>
      </w:pPr>
      <w:r w:rsidRPr="00F6239B">
        <w:rPr>
          <w:rFonts w:ascii="Times New Roman" w:hAnsi="Times New Roman" w:cs="Times New Roman" w:hint="cs"/>
          <w:b/>
          <w:bCs/>
          <w:noProof/>
          <w:sz w:val="36"/>
          <w:szCs w:val="36"/>
          <w:rtl/>
          <w:lang w:eastAsia="en-US" w:bidi="ar-SA"/>
        </w:rPr>
        <w:t>الطعن</w:t>
      </w:r>
      <w:r w:rsidRPr="00F6239B">
        <w:rPr>
          <w:rFonts w:ascii="Times New Roman" w:hAnsi="Times New Roman" w:cs="Times New Roman"/>
          <w:b/>
          <w:bCs/>
          <w:noProof/>
          <w:sz w:val="36"/>
          <w:szCs w:val="36"/>
          <w:rtl/>
          <w:lang w:eastAsia="en-US" w:bidi="ar-SA"/>
        </w:rPr>
        <w:t xml:space="preserve"> رقم </w:t>
      </w:r>
      <w:r>
        <w:rPr>
          <w:rFonts w:ascii="Times New Roman" w:hAnsi="Times New Roman" w:cs="Times New Roman" w:hint="cs"/>
          <w:b/>
          <w:bCs/>
          <w:noProof/>
          <w:sz w:val="36"/>
          <w:szCs w:val="36"/>
          <w:rtl/>
          <w:lang w:eastAsia="en-US" w:bidi="ar-SA"/>
        </w:rPr>
        <w:t>2092</w:t>
      </w:r>
      <w:r w:rsidRPr="00F6239B">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2024</w:t>
      </w:r>
      <w:r w:rsidRPr="00F6239B">
        <w:rPr>
          <w:rFonts w:ascii="Times New Roman" w:hAnsi="Times New Roman" w:cs="Times New Roman"/>
          <w:b/>
          <w:bCs/>
          <w:noProof/>
          <w:sz w:val="36"/>
          <w:szCs w:val="36"/>
          <w:rtl/>
          <w:lang w:eastAsia="en-US" w:bidi="ar-SA"/>
        </w:rPr>
        <w:t xml:space="preserve"> جزائي</w:t>
      </w:r>
    </w:p>
    <w:p w14:paraId="4540E855" w14:textId="324AD58D" w:rsidR="00F6239B" w:rsidRPr="00F6239B" w:rsidRDefault="001315DD" w:rsidP="00E97507">
      <w:pPr>
        <w:spacing w:line="360" w:lineRule="auto"/>
        <w:jc w:val="both"/>
        <w:rPr>
          <w:rFonts w:ascii="Times New Roman" w:hAnsi="Times New Roman" w:cs="Times New Roman"/>
          <w:b/>
          <w:bCs/>
          <w:noProof/>
          <w:sz w:val="44"/>
          <w:szCs w:val="28"/>
          <w:rtl/>
          <w:lang w:eastAsia="en-US" w:bidi="ar-SA"/>
        </w:rPr>
      </w:pPr>
      <w:r>
        <w:rPr>
          <w:rFonts w:ascii="Times New Roman" w:hAnsi="Times New Roman" w:cs="Times New Roman" w:hint="cs"/>
          <w:b/>
          <w:bCs/>
          <w:noProof/>
          <w:sz w:val="44"/>
          <w:szCs w:val="28"/>
          <w:rtl/>
          <w:lang w:eastAsia="en-US" w:bidi="ar-SA"/>
        </w:rPr>
        <w:t xml:space="preserve">(1- </w:t>
      </w:r>
      <w:r w:rsidR="00F97C4A">
        <w:rPr>
          <w:rFonts w:ascii="Times New Roman" w:hAnsi="Times New Roman" w:cs="Times New Roman" w:hint="cs"/>
          <w:b/>
          <w:bCs/>
          <w:noProof/>
          <w:sz w:val="44"/>
          <w:szCs w:val="28"/>
          <w:rtl/>
          <w:lang w:eastAsia="en-US" w:bidi="ar-SA"/>
        </w:rPr>
        <w:t>7</w:t>
      </w:r>
      <w:r>
        <w:rPr>
          <w:rFonts w:ascii="Times New Roman" w:hAnsi="Times New Roman" w:cs="Times New Roman" w:hint="cs"/>
          <w:b/>
          <w:bCs/>
          <w:noProof/>
          <w:sz w:val="44"/>
          <w:szCs w:val="28"/>
          <w:rtl/>
          <w:lang w:eastAsia="en-US" w:bidi="ar-SA"/>
        </w:rPr>
        <w:t>) مخدرات ومؤثرات عقلية "</w:t>
      </w:r>
      <w:r w:rsidR="00E97507">
        <w:rPr>
          <w:rFonts w:ascii="Times New Roman" w:hAnsi="Times New Roman" w:cs="Times New Roman" w:hint="cs"/>
          <w:b/>
          <w:bCs/>
          <w:noProof/>
          <w:sz w:val="44"/>
          <w:szCs w:val="28"/>
          <w:rtl/>
          <w:lang w:eastAsia="en-US" w:bidi="ar-SA"/>
        </w:rPr>
        <w:t>سلامة الاستدلال"</w:t>
      </w:r>
      <w:r w:rsidR="00C24925">
        <w:rPr>
          <w:rFonts w:ascii="Times New Roman" w:hAnsi="Times New Roman" w:cs="Times New Roman" w:hint="cs"/>
          <w:b/>
          <w:bCs/>
          <w:noProof/>
          <w:sz w:val="44"/>
          <w:szCs w:val="28"/>
          <w:rtl/>
          <w:lang w:eastAsia="en-US" w:bidi="ar-SA"/>
        </w:rPr>
        <w:t xml:space="preserve"> "</w:t>
      </w:r>
      <w:r w:rsidR="00F97C4A">
        <w:rPr>
          <w:rFonts w:ascii="Times New Roman" w:hAnsi="Times New Roman" w:cs="Times New Roman" w:hint="cs"/>
          <w:b/>
          <w:bCs/>
          <w:noProof/>
          <w:sz w:val="44"/>
          <w:szCs w:val="28"/>
          <w:rtl/>
          <w:lang w:eastAsia="en-US" w:bidi="ar-SA"/>
        </w:rPr>
        <w:t>مناط المسؤولية في</w:t>
      </w:r>
      <w:r w:rsidR="00C24925">
        <w:rPr>
          <w:rFonts w:ascii="Times New Roman" w:hAnsi="Times New Roman" w:cs="Times New Roman" w:hint="cs"/>
          <w:b/>
          <w:bCs/>
          <w:noProof/>
          <w:sz w:val="44"/>
          <w:szCs w:val="28"/>
          <w:rtl/>
          <w:lang w:eastAsia="en-US" w:bidi="ar-SA"/>
        </w:rPr>
        <w:t>حيازة المواد المخدرة</w:t>
      </w:r>
      <w:r w:rsidR="00F97C4A">
        <w:rPr>
          <w:rFonts w:ascii="Times New Roman" w:hAnsi="Times New Roman" w:cs="Times New Roman" w:hint="cs"/>
          <w:b/>
          <w:bCs/>
          <w:noProof/>
          <w:sz w:val="44"/>
          <w:szCs w:val="28"/>
          <w:rtl/>
          <w:lang w:eastAsia="en-US" w:bidi="ar-SA"/>
        </w:rPr>
        <w:t xml:space="preserve"> أو المؤثرات العقلية"</w:t>
      </w:r>
      <w:r w:rsidR="00E97507">
        <w:rPr>
          <w:rFonts w:ascii="Times New Roman" w:hAnsi="Times New Roman" w:cs="Times New Roman" w:hint="cs"/>
          <w:b/>
          <w:bCs/>
          <w:noProof/>
          <w:sz w:val="44"/>
          <w:szCs w:val="28"/>
          <w:rtl/>
          <w:lang w:eastAsia="en-US" w:bidi="ar-SA"/>
        </w:rPr>
        <w:t>. حكم "تسبيب الحكم وبياناته". محكمة "محكمة الموضوع: سلطتها في تعديل التهمة واستبعاد الظروف المشددة"</w:t>
      </w:r>
      <w:r w:rsidR="00F97C4A">
        <w:rPr>
          <w:rFonts w:ascii="Times New Roman" w:hAnsi="Times New Roman" w:cs="Times New Roman" w:hint="cs"/>
          <w:b/>
          <w:bCs/>
          <w:noProof/>
          <w:sz w:val="44"/>
          <w:szCs w:val="28"/>
          <w:rtl/>
          <w:lang w:eastAsia="en-US" w:bidi="ar-SA"/>
        </w:rPr>
        <w:t xml:space="preserve"> "سلطتها التقديرية في استخلاص القصد من حيازة المواد المخدرة"</w:t>
      </w:r>
      <w:r w:rsidR="00E97507">
        <w:rPr>
          <w:rFonts w:ascii="Times New Roman" w:hAnsi="Times New Roman" w:cs="Times New Roman" w:hint="cs"/>
          <w:b/>
          <w:bCs/>
          <w:noProof/>
          <w:sz w:val="44"/>
          <w:szCs w:val="28"/>
          <w:rtl/>
          <w:lang w:eastAsia="en-US" w:bidi="ar-SA"/>
        </w:rPr>
        <w:t>. قانون "القوانين الإجرائية: سريانها من حيث الزمان".</w:t>
      </w:r>
      <w:r w:rsidR="000E12DC">
        <w:rPr>
          <w:rFonts w:ascii="Times New Roman" w:hAnsi="Times New Roman" w:cs="Times New Roman" w:hint="cs"/>
          <w:b/>
          <w:bCs/>
          <w:noProof/>
          <w:sz w:val="44"/>
          <w:szCs w:val="28"/>
          <w:rtl/>
          <w:lang w:eastAsia="en-US" w:bidi="ar-SA"/>
        </w:rPr>
        <w:t xml:space="preserve"> إثبات "الإثبات في المواد الجزائية: حرية القاضي الجنائي وسلطته في تقصي الحقيقة وتكوين عقيدته".</w:t>
      </w:r>
    </w:p>
    <w:p w14:paraId="72102882" w14:textId="77777777" w:rsidR="00472DC9" w:rsidRPr="009E7C33" w:rsidRDefault="00472DC9" w:rsidP="00472DC9">
      <w:pPr>
        <w:spacing w:line="360" w:lineRule="auto"/>
        <w:ind w:firstLine="429"/>
        <w:jc w:val="both"/>
        <w:rPr>
          <w:rFonts w:ascii="Times New Roman" w:hAnsi="Times New Roman" w:cs="Times New Roman"/>
          <w:sz w:val="28"/>
          <w:szCs w:val="28"/>
          <w:rtl/>
        </w:rPr>
      </w:pPr>
      <w:r>
        <w:rPr>
          <w:rFonts w:ascii="Times New Roman" w:hAnsi="Times New Roman" w:cs="Times New Roman" w:hint="cs"/>
          <w:sz w:val="28"/>
          <w:szCs w:val="28"/>
          <w:rtl/>
        </w:rPr>
        <w:t>(1) بيان الحكم المطعون فيه لواقعة الدعوى وصحة أدلته المستند إليها في إدانة الطاعن بجرائم ترويج وتعاطي المخدرات والمؤثرات العقلية. مؤداه أن نعيه في هذا الخصوص غير سديد.</w:t>
      </w:r>
    </w:p>
    <w:p w14:paraId="62806DC3" w14:textId="77777777" w:rsidR="001315DD" w:rsidRDefault="001315DD" w:rsidP="001315DD">
      <w:pPr>
        <w:spacing w:line="360" w:lineRule="auto"/>
        <w:ind w:firstLine="429"/>
        <w:jc w:val="both"/>
        <w:rPr>
          <w:rFonts w:ascii="Times New Roman" w:hAnsi="Times New Roman" w:cs="Times New Roman"/>
          <w:sz w:val="28"/>
          <w:szCs w:val="28"/>
          <w:rtl/>
        </w:rPr>
      </w:pPr>
      <w:r w:rsidRPr="001315DD">
        <w:rPr>
          <w:rFonts w:ascii="Times New Roman" w:hAnsi="Times New Roman" w:cs="Times New Roman" w:hint="cs"/>
          <w:sz w:val="28"/>
          <w:szCs w:val="28"/>
          <w:rtl/>
        </w:rPr>
        <w:t>(2) تضمن منطوق الحكم المطعون فيه الرقم الصحيح والمطابق لرقم استئناف الطاعن حسب مفردات الدعوى. مؤداه أن نعيه بالبطلان لخطأ الرقم غير سديد.</w:t>
      </w:r>
    </w:p>
    <w:p w14:paraId="484FB983" w14:textId="77777777" w:rsidR="001315DD" w:rsidRPr="009E7C33" w:rsidRDefault="001315DD" w:rsidP="001315DD">
      <w:pPr>
        <w:spacing w:line="360" w:lineRule="auto"/>
        <w:ind w:firstLine="429"/>
        <w:jc w:val="both"/>
        <w:rPr>
          <w:rFonts w:ascii="Times New Roman" w:hAnsi="Times New Roman" w:cs="Times New Roman"/>
          <w:sz w:val="28"/>
          <w:szCs w:val="28"/>
          <w:rtl/>
        </w:rPr>
      </w:pPr>
      <w:r w:rsidRPr="001315DD">
        <w:rPr>
          <w:rFonts w:ascii="Times New Roman" w:hAnsi="Times New Roman" w:cs="Times New Roman" w:hint="cs"/>
          <w:sz w:val="28"/>
          <w:szCs w:val="28"/>
          <w:rtl/>
        </w:rPr>
        <w:t xml:space="preserve">(3) </w:t>
      </w:r>
      <w:r>
        <w:rPr>
          <w:rFonts w:ascii="Times New Roman" w:hAnsi="Times New Roman" w:cs="Times New Roman" w:hint="cs"/>
          <w:sz w:val="28"/>
          <w:szCs w:val="28"/>
          <w:rtl/>
        </w:rPr>
        <w:t>استبعاد الحكم الابتدائي المؤيد لأسبابه بالحكم المطعون فيه وصف انتماء الطاعن إلى عصابة منظمة وعمله لمصلحتها وتعديل التهمتين إلى الحيازة بقصد الترويج والتعاطي. أثره عدم حاجة الحكم المطعون فيه للتدليل على ذلك. مؤداه: أن نعيه بالخطأ في هذا الخصوص غير سديد.</w:t>
      </w:r>
    </w:p>
    <w:p w14:paraId="37E1E4E7" w14:textId="08E3754C" w:rsidR="001315DD" w:rsidRDefault="001315DD" w:rsidP="001315DD">
      <w:pPr>
        <w:spacing w:line="360" w:lineRule="auto"/>
        <w:ind w:firstLine="429"/>
        <w:jc w:val="both"/>
        <w:rPr>
          <w:rFonts w:ascii="Times New Roman" w:hAnsi="Times New Roman" w:cs="Times New Roman"/>
          <w:sz w:val="28"/>
          <w:szCs w:val="28"/>
          <w:rtl/>
        </w:rPr>
      </w:pPr>
      <w:r>
        <w:rPr>
          <w:rFonts w:ascii="Times New Roman" w:hAnsi="Times New Roman" w:cs="Times New Roman" w:hint="cs"/>
          <w:sz w:val="28"/>
          <w:szCs w:val="28"/>
          <w:rtl/>
        </w:rPr>
        <w:t xml:space="preserve">(4) </w:t>
      </w:r>
      <w:r w:rsidR="00E97507">
        <w:rPr>
          <w:rFonts w:ascii="Times New Roman" w:hAnsi="Times New Roman" w:cs="Times New Roman" w:hint="cs"/>
          <w:sz w:val="28"/>
          <w:szCs w:val="28"/>
          <w:rtl/>
        </w:rPr>
        <w:t>القوانين الإجرائية: سريانها بأثر فوري على الدعاوى التي لم يُفصل فيها. أثر ذلك: اختصاص المحكمة مصدرة الحكم المطعون فيه بنظر جرائم حيازة المخدرات والمؤثرات العقلية بقصد الترويج وفق نص المادة 88 من قانون مكافحة المخدرات والمؤثرات العقلية قبل تعديله وبعده. النعي على الحكم في هذا الشأن ير سديد.</w:t>
      </w:r>
    </w:p>
    <w:p w14:paraId="03AA695F" w14:textId="77777777" w:rsidR="002866A2" w:rsidRDefault="002866A2" w:rsidP="002866A2">
      <w:pPr>
        <w:spacing w:line="360" w:lineRule="auto"/>
        <w:ind w:firstLine="429"/>
        <w:jc w:val="both"/>
        <w:rPr>
          <w:rFonts w:ascii="Times New Roman" w:hAnsi="Times New Roman" w:cs="Times New Roman"/>
          <w:sz w:val="28"/>
          <w:szCs w:val="28"/>
          <w:rtl/>
        </w:rPr>
      </w:pPr>
      <w:r w:rsidRPr="00E97507">
        <w:rPr>
          <w:rFonts w:ascii="Times New Roman" w:hAnsi="Times New Roman" w:cs="Times New Roman" w:hint="cs"/>
          <w:sz w:val="28"/>
          <w:szCs w:val="28"/>
          <w:rtl/>
        </w:rPr>
        <w:t>(5) تقدير جدية التحريات وكفايتها لإصدار إذن التفتيش</w:t>
      </w:r>
      <w:r>
        <w:rPr>
          <w:rFonts w:ascii="Times New Roman" w:hAnsi="Times New Roman" w:cs="Times New Roman" w:hint="cs"/>
          <w:sz w:val="28"/>
          <w:szCs w:val="28"/>
          <w:rtl/>
        </w:rPr>
        <w:t>. من المسائل الموضوعية التي تستقل بها محكمة الموضوع متى اقتنعت بالاستدلالات المبني عليها الإذن وكفايتها لتسويغ إصداره. تسويغ محكمة الموضوع للأمر بالتفتيش وردها على الدفع ببطلانه رداً كافياً. مؤداه أن النعي على الحكم في هذا الشأن يكون على غير محل.</w:t>
      </w:r>
      <w:r w:rsidRPr="00E97507">
        <w:rPr>
          <w:rFonts w:ascii="Times New Roman" w:hAnsi="Times New Roman" w:cs="Times New Roman" w:hint="cs"/>
          <w:sz w:val="28"/>
          <w:szCs w:val="28"/>
          <w:rtl/>
        </w:rPr>
        <w:t xml:space="preserve"> </w:t>
      </w:r>
    </w:p>
    <w:p w14:paraId="541A440C" w14:textId="77777777" w:rsidR="00AB5B80" w:rsidRDefault="00AB5B80" w:rsidP="002866A2">
      <w:pPr>
        <w:spacing w:line="360" w:lineRule="auto"/>
        <w:ind w:firstLine="429"/>
        <w:jc w:val="both"/>
        <w:rPr>
          <w:rFonts w:ascii="Times New Roman" w:hAnsi="Times New Roman" w:cs="Times New Roman"/>
          <w:sz w:val="28"/>
          <w:szCs w:val="28"/>
          <w:rtl/>
        </w:rPr>
      </w:pPr>
    </w:p>
    <w:p w14:paraId="760F4BE3" w14:textId="77777777" w:rsidR="00C24925" w:rsidRDefault="00C24925" w:rsidP="00C24925">
      <w:pPr>
        <w:spacing w:line="360" w:lineRule="auto"/>
        <w:ind w:firstLine="429"/>
        <w:jc w:val="both"/>
        <w:rPr>
          <w:rFonts w:ascii="Times New Roman" w:hAnsi="Times New Roman" w:cs="Times New Roman"/>
          <w:sz w:val="28"/>
          <w:szCs w:val="28"/>
          <w:rtl/>
        </w:rPr>
      </w:pPr>
      <w:r w:rsidRPr="00751873">
        <w:rPr>
          <w:rFonts w:ascii="Times New Roman" w:hAnsi="Times New Roman" w:cs="Times New Roman" w:hint="cs"/>
          <w:sz w:val="28"/>
          <w:szCs w:val="28"/>
          <w:rtl/>
        </w:rPr>
        <w:lastRenderedPageBreak/>
        <w:t>(6) مسؤولية الجاني في حيازة المواد المخدرة والمؤثرات العقلية. مناطه</w:t>
      </w:r>
      <w:r>
        <w:rPr>
          <w:rFonts w:ascii="Times New Roman" w:hAnsi="Times New Roman" w:cs="Times New Roman" w:hint="cs"/>
          <w:sz w:val="28"/>
          <w:szCs w:val="28"/>
          <w:rtl/>
        </w:rPr>
        <w:t>ا</w:t>
      </w:r>
      <w:r w:rsidRPr="00751873">
        <w:rPr>
          <w:rFonts w:ascii="Times New Roman" w:hAnsi="Times New Roman" w:cs="Times New Roman" w:hint="cs"/>
          <w:sz w:val="28"/>
          <w:szCs w:val="28"/>
          <w:rtl/>
        </w:rPr>
        <w:t xml:space="preserve"> ثبوت اتصاله بالمخدر أو المؤثر العقلي </w:t>
      </w:r>
      <w:r>
        <w:rPr>
          <w:rFonts w:ascii="Times New Roman" w:hAnsi="Times New Roman" w:cs="Times New Roman" w:hint="cs"/>
          <w:sz w:val="28"/>
          <w:szCs w:val="28"/>
          <w:rtl/>
        </w:rPr>
        <w:t>اتصالاً مباشراً أو بالواسطة وبسط سلطانه عليه بأي صورة عن علم وإرادة ولو لم تتحقق الحيازة المادة. توافر قصد الاتجار أو الترويج من الأمور الموضوعية التي تستقل بها محكمة الموضوع. أثره: تدليل الحكم المطعون فيه على حيازة الطاعن للمخدر والمؤثر العقلي وبسط سلطانه عليهما بقصد الترويج تدليلاً سائغاً مؤداه أن النعي عليه في هذا الشأن ذلك جدل موضوعي لا يجوز إثارته أمام المحكمة العليا.</w:t>
      </w:r>
    </w:p>
    <w:p w14:paraId="79235BA8" w14:textId="77777777" w:rsidR="000E12DC" w:rsidRPr="009E7C33" w:rsidRDefault="000E12DC" w:rsidP="000E12DC">
      <w:pPr>
        <w:spacing w:line="360" w:lineRule="auto"/>
        <w:ind w:firstLine="429"/>
        <w:jc w:val="both"/>
        <w:rPr>
          <w:rFonts w:ascii="Times New Roman" w:hAnsi="Times New Roman" w:cs="Times New Roman"/>
          <w:sz w:val="28"/>
          <w:szCs w:val="28"/>
          <w:rtl/>
        </w:rPr>
      </w:pPr>
      <w:r w:rsidRPr="00F97C4A">
        <w:rPr>
          <w:rFonts w:ascii="Times New Roman" w:hAnsi="Times New Roman" w:cs="Times New Roman" w:hint="cs"/>
          <w:sz w:val="28"/>
          <w:szCs w:val="28"/>
          <w:rtl/>
        </w:rPr>
        <w:t xml:space="preserve">(7) </w:t>
      </w:r>
      <w:r>
        <w:rPr>
          <w:rFonts w:ascii="Times New Roman" w:hAnsi="Times New Roman" w:cs="Times New Roman" w:hint="cs"/>
          <w:sz w:val="28"/>
          <w:szCs w:val="28"/>
          <w:rtl/>
        </w:rPr>
        <w:t>القاضي الجنائي: خوله المشرع سلطة واسعة في سبيل تقصي ثبوت الجرائم أو نفيها</w:t>
      </w:r>
      <w:r w:rsidRPr="00F97C4A">
        <w:rPr>
          <w:rFonts w:ascii="Times New Roman" w:hAnsi="Times New Roman" w:cs="Times New Roman" w:hint="cs"/>
          <w:sz w:val="28"/>
          <w:szCs w:val="28"/>
          <w:rtl/>
        </w:rPr>
        <w:t xml:space="preserve"> </w:t>
      </w:r>
      <w:r>
        <w:rPr>
          <w:rFonts w:ascii="Times New Roman" w:hAnsi="Times New Roman" w:cs="Times New Roman" w:hint="cs"/>
          <w:sz w:val="28"/>
          <w:szCs w:val="28"/>
          <w:rtl/>
        </w:rPr>
        <w:t>وحرية كاملة في اختيار طرق الإثبات وتكوين عقيدته من أي دليل يطمئن إليه والاسترشاد بالقرائن. وعلة ذلك: أن تتوائم هذه السلطة مع ما تستلزمه طبيعة الأفعال الجنائية وتقتضيه مصلحة الجماعة. ومؤداه: أن نعي الطاعن على الحكم المطعون فيه بالتعويل على أدلة واهية أو قرائن ظنية لا يعدوا أن يكون جدلاً موضوعياً في تقدير الدليل مما لا تجوز إثارته أمام المحكمة العليا ويتعين رفضه.</w:t>
      </w:r>
    </w:p>
    <w:p w14:paraId="23FE7E9F" w14:textId="56ABD6E6" w:rsidR="00F6239B" w:rsidRPr="00F6239B" w:rsidRDefault="00F6239B" w:rsidP="00F6239B">
      <w:pPr>
        <w:spacing w:line="360" w:lineRule="auto"/>
        <w:jc w:val="center"/>
        <w:rPr>
          <w:rFonts w:ascii="Times New Roman" w:hAnsi="Times New Roman" w:cs="Times New Roman"/>
          <w:b/>
          <w:bCs/>
          <w:noProof/>
          <w:sz w:val="44"/>
          <w:szCs w:val="28"/>
          <w:rtl/>
          <w:lang w:eastAsia="en-US" w:bidi="ar-SA"/>
        </w:rPr>
      </w:pPr>
      <w:r w:rsidRPr="00F6239B">
        <w:rPr>
          <w:rFonts w:ascii="Times New Roman" w:hAnsi="Times New Roman" w:cs="Times New Roman"/>
          <w:b/>
          <w:bCs/>
          <w:noProof/>
          <w:sz w:val="44"/>
          <w:szCs w:val="28"/>
          <w:rtl/>
          <w:lang w:eastAsia="en-US" w:bidi="ar-SA"/>
        </w:rPr>
        <w:t>(</w:t>
      </w:r>
      <w:r w:rsidRPr="00F6239B">
        <w:rPr>
          <w:rFonts w:ascii="Times New Roman" w:hAnsi="Times New Roman" w:cs="Times New Roman" w:hint="cs"/>
          <w:b/>
          <w:bCs/>
          <w:noProof/>
          <w:sz w:val="44"/>
          <w:szCs w:val="28"/>
          <w:rtl/>
          <w:lang w:eastAsia="en-US" w:bidi="ar-SA"/>
        </w:rPr>
        <w:t>الطعن</w:t>
      </w:r>
      <w:r w:rsidRPr="00F6239B">
        <w:rPr>
          <w:rFonts w:ascii="Times New Roman" w:hAnsi="Times New Roman" w:cs="Times New Roman"/>
          <w:b/>
          <w:bCs/>
          <w:noProof/>
          <w:sz w:val="44"/>
          <w:szCs w:val="28"/>
          <w:rtl/>
          <w:lang w:eastAsia="en-US" w:bidi="ar-SA"/>
        </w:rPr>
        <w:t xml:space="preserve"> رقم </w:t>
      </w:r>
      <w:r>
        <w:rPr>
          <w:rFonts w:ascii="Times New Roman" w:hAnsi="Times New Roman" w:cs="Times New Roman" w:hint="cs"/>
          <w:b/>
          <w:bCs/>
          <w:noProof/>
          <w:sz w:val="44"/>
          <w:szCs w:val="28"/>
          <w:rtl/>
          <w:lang w:eastAsia="en-US" w:bidi="ar-SA"/>
        </w:rPr>
        <w:t>2092</w:t>
      </w:r>
      <w:r w:rsidRPr="00F6239B">
        <w:rPr>
          <w:rFonts w:ascii="Times New Roman" w:hAnsi="Times New Roman" w:cs="Times New Roman"/>
          <w:b/>
          <w:bCs/>
          <w:noProof/>
          <w:sz w:val="44"/>
          <w:szCs w:val="28"/>
          <w:rtl/>
          <w:lang w:eastAsia="en-US" w:bidi="ar-SA"/>
        </w:rPr>
        <w:t xml:space="preserve"> لسنة </w:t>
      </w:r>
      <w:r>
        <w:rPr>
          <w:rFonts w:ascii="Times New Roman" w:hAnsi="Times New Roman" w:cs="Times New Roman" w:hint="cs"/>
          <w:b/>
          <w:bCs/>
          <w:noProof/>
          <w:sz w:val="44"/>
          <w:szCs w:val="28"/>
          <w:rtl/>
          <w:lang w:eastAsia="en-US" w:bidi="ar-SA"/>
        </w:rPr>
        <w:t>2024</w:t>
      </w:r>
      <w:r w:rsidRPr="00F6239B">
        <w:rPr>
          <w:rFonts w:ascii="Times New Roman" w:hAnsi="Times New Roman" w:cs="Times New Roman"/>
          <w:b/>
          <w:bCs/>
          <w:noProof/>
          <w:sz w:val="44"/>
          <w:szCs w:val="28"/>
          <w:rtl/>
          <w:lang w:eastAsia="en-US" w:bidi="ar-SA"/>
        </w:rPr>
        <w:t xml:space="preserve"> جزائي، جلسة </w:t>
      </w:r>
      <w:r>
        <w:rPr>
          <w:rFonts w:ascii="Times New Roman" w:hAnsi="Times New Roman" w:cs="Times New Roman" w:hint="cs"/>
          <w:b/>
          <w:bCs/>
          <w:noProof/>
          <w:sz w:val="44"/>
          <w:szCs w:val="28"/>
          <w:rtl/>
          <w:lang w:eastAsia="en-US" w:bidi="ar-SA"/>
        </w:rPr>
        <w:t>26</w:t>
      </w:r>
      <w:r w:rsidRPr="00F6239B">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8</w:t>
      </w:r>
      <w:r w:rsidRPr="00F6239B">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2025</w:t>
      </w:r>
      <w:r w:rsidRPr="00F6239B">
        <w:rPr>
          <w:rFonts w:ascii="Times New Roman" w:hAnsi="Times New Roman" w:cs="Times New Roman"/>
          <w:b/>
          <w:bCs/>
          <w:noProof/>
          <w:sz w:val="44"/>
          <w:szCs w:val="28"/>
          <w:rtl/>
          <w:lang w:eastAsia="en-US" w:bidi="ar-SA"/>
        </w:rPr>
        <w:t>)</w:t>
      </w:r>
    </w:p>
    <w:p w14:paraId="754C5148" w14:textId="77777777" w:rsidR="00F6239B" w:rsidRPr="00F6239B" w:rsidRDefault="00F6239B" w:rsidP="00F6239B">
      <w:pPr>
        <w:tabs>
          <w:tab w:val="left" w:pos="33"/>
        </w:tabs>
        <w:spacing w:line="360" w:lineRule="auto"/>
        <w:jc w:val="center"/>
        <w:rPr>
          <w:rFonts w:ascii="Times New Roman" w:hAnsi="Times New Roman" w:cs="Times New Roman"/>
          <w:b/>
          <w:bCs/>
          <w:noProof/>
          <w:sz w:val="48"/>
          <w:rtl/>
          <w:lang w:eastAsia="en-US" w:bidi="ar-SA"/>
        </w:rPr>
      </w:pPr>
      <w:r w:rsidRPr="00F6239B">
        <w:rPr>
          <w:rFonts w:ascii="Times New Roman" w:hAnsi="Times New Roman" w:cs="Times New Roman"/>
          <w:b/>
          <w:bCs/>
          <w:noProof/>
          <w:sz w:val="48"/>
          <w:rtl/>
          <w:lang w:eastAsia="en-US" w:bidi="ar-SA"/>
        </w:rPr>
        <w:t>ـــــــــــــــــــــــــــــــــــ</w:t>
      </w:r>
    </w:p>
    <w:p w14:paraId="59D0DBB4" w14:textId="5C0FCF28" w:rsidR="009E7C33" w:rsidRDefault="009E7C33" w:rsidP="009E7C33">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1- بيان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الحكم</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المطعون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فيه</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واقعة</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الدعوى</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بما</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تتوافر</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به</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كافة</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العناصر</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القانونية</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لجرائم</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حيازة</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مخدر</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ومؤثر</w:t>
      </w:r>
      <w:r w:rsidRPr="009E7C33">
        <w:rPr>
          <w:rFonts w:ascii="Times New Roman" w:hAnsi="Times New Roman" w:cs="Times New Roman"/>
          <w:b/>
          <w:bCs/>
          <w:sz w:val="28"/>
          <w:szCs w:val="28"/>
          <w:rtl/>
        </w:rPr>
        <w:t xml:space="preserve"> </w:t>
      </w:r>
      <w:r w:rsidRPr="009E7C33">
        <w:rPr>
          <w:rFonts w:ascii="Times New Roman" w:hAnsi="Times New Roman" w:cs="Times New Roman" w:hint="cs"/>
          <w:b/>
          <w:bCs/>
          <w:sz w:val="28"/>
          <w:szCs w:val="28"/>
          <w:rtl/>
        </w:rPr>
        <w:t>عقلي</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بقصد</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الترويج</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في</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أكثر</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من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إمارة</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من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إمارات</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الدولة،</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وتعاط</w:t>
      </w:r>
      <w:r w:rsidRPr="009E7C33">
        <w:rPr>
          <w:rFonts w:ascii="Times New Roman" w:hAnsi="Times New Roman" w:cs="Times New Roman" w:hint="cs"/>
          <w:b/>
          <w:bCs/>
          <w:sz w:val="28"/>
          <w:szCs w:val="28"/>
          <w:rtl/>
        </w:rPr>
        <w:t>ي</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مؤثرات</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عقلية</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في</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غير</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الأحوال</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المصرح</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بها</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قانونا</w:t>
      </w:r>
      <w:r w:rsidRPr="009E7C33">
        <w:rPr>
          <w:rFonts w:ascii="Times New Roman" w:hAnsi="Times New Roman" w:cs="Times New Roman"/>
          <w:b/>
          <w:bCs/>
          <w:sz w:val="28"/>
          <w:szCs w:val="28"/>
          <w:rtl/>
        </w:rPr>
        <w:t xml:space="preserve"> </w:t>
      </w:r>
      <w:r w:rsidRPr="009E7C33">
        <w:rPr>
          <w:rFonts w:ascii="Times New Roman" w:hAnsi="Times New Roman" w:cs="Times New Roman" w:hint="cs"/>
          <w:b/>
          <w:bCs/>
          <w:sz w:val="28"/>
          <w:szCs w:val="28"/>
          <w:rtl/>
        </w:rPr>
        <w:t>التي</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أدان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الطاعن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بها</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وأورد</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على</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ثبوتها</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في</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حقه</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أدلة</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سائغة</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ومن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شأنها</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أن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تؤدي</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إلى</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ما</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رتبه</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الحكم</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عليها</w:t>
      </w:r>
      <w:r>
        <w:rPr>
          <w:rFonts w:ascii="Times New Roman" w:hAnsi="Times New Roman" w:cs="Times New Roman" w:hint="cs"/>
          <w:b/>
          <w:bCs/>
          <w:sz w:val="28"/>
          <w:szCs w:val="28"/>
          <w:rtl/>
        </w:rPr>
        <w:t xml:space="preserve">، </w:t>
      </w:r>
      <w:r w:rsidRPr="009E7C33">
        <w:rPr>
          <w:rFonts w:ascii="Times New Roman" w:hAnsi="Times New Roman" w:cs="Times New Roman" w:hint="cs"/>
          <w:sz w:val="28"/>
          <w:szCs w:val="28"/>
          <w:rtl/>
        </w:rPr>
        <w:t>ومن ثم فإن ما ينعاه الطاعن في هذا الخصوص غير سديد</w:t>
      </w:r>
      <w:r>
        <w:rPr>
          <w:rFonts w:ascii="Times New Roman" w:hAnsi="Times New Roman" w:cs="Times New Roman" w:hint="cs"/>
          <w:b/>
          <w:bCs/>
          <w:sz w:val="28"/>
          <w:szCs w:val="28"/>
          <w:rtl/>
        </w:rPr>
        <w:t>.</w:t>
      </w:r>
    </w:p>
    <w:p w14:paraId="66C258F9" w14:textId="54E13519" w:rsidR="009E7C33" w:rsidRDefault="009E7C33" w:rsidP="009E7C33">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2- تضمن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منطوق</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الحكم</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المطعون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فيه</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الرقم</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الصحيح</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والمطابق</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لرقم</w:t>
      </w:r>
      <w:r w:rsidRPr="009E7C33">
        <w:rPr>
          <w:rFonts w:ascii="Times New Roman" w:hAnsi="Times New Roman" w:cs="Times New Roman"/>
          <w:b/>
          <w:bCs/>
          <w:sz w:val="28"/>
          <w:szCs w:val="28"/>
          <w:rtl/>
        </w:rPr>
        <w:t xml:space="preserve"> </w:t>
      </w:r>
      <w:r w:rsidRPr="009E7C33">
        <w:rPr>
          <w:rFonts w:ascii="Times New Roman" w:hAnsi="Times New Roman" w:cs="Times New Roman" w:hint="cs"/>
          <w:b/>
          <w:bCs/>
          <w:sz w:val="28"/>
          <w:szCs w:val="28"/>
          <w:rtl/>
        </w:rPr>
        <w:t>الاستئناف</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المقام</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من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الطاعن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حسبما</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يبين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من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مفردات</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الدعوى</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على</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النظام</w:t>
      </w:r>
      <w:r w:rsidRPr="009E7C33">
        <w:rPr>
          <w:rFonts w:ascii="Times New Roman" w:hAnsi="Times New Roman" w:cs="Times New Roman"/>
          <w:b/>
          <w:bCs/>
          <w:sz w:val="28"/>
          <w:szCs w:val="28"/>
          <w:rtl/>
        </w:rPr>
        <w:t xml:space="preserve"> </w:t>
      </w:r>
      <w:r w:rsidRPr="009E7C33">
        <w:rPr>
          <w:rFonts w:ascii="Times New Roman" w:hAnsi="Times New Roman" w:cs="Times New Roman" w:hint="cs"/>
          <w:b/>
          <w:bCs/>
          <w:sz w:val="28"/>
          <w:szCs w:val="28"/>
          <w:rtl/>
        </w:rPr>
        <w:t>الجزائي</w:t>
      </w:r>
      <w:r w:rsidRPr="009E7C33">
        <w:rPr>
          <w:rFonts w:ascii="Times New Roman" w:hAnsi="Times New Roman" w:cs="Times New Roman" w:hint="eastAsia"/>
          <w:b/>
          <w:bCs/>
          <w:sz w:val="28"/>
          <w:szCs w:val="28"/>
          <w:rtl/>
        </w:rPr>
        <w:t>،</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ومن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ثم</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فإن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ما</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ينعاه</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الطاعن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في</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هذا</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الخصوص</w:t>
      </w:r>
      <w:r>
        <w:rPr>
          <w:rFonts w:ascii="Times New Roman" w:hAnsi="Times New Roman" w:cs="Times New Roman" w:hint="cs"/>
          <w:b/>
          <w:bCs/>
          <w:sz w:val="28"/>
          <w:szCs w:val="28"/>
          <w:rtl/>
        </w:rPr>
        <w:t xml:space="preserve"> </w:t>
      </w:r>
      <w:r w:rsidRPr="009E7C33">
        <w:rPr>
          <w:rFonts w:ascii="Times New Roman" w:hAnsi="Times New Roman" w:cs="Times New Roman" w:hint="cs"/>
          <w:sz w:val="28"/>
          <w:szCs w:val="28"/>
          <w:rtl/>
        </w:rPr>
        <w:t>- بطلان الحكم لخطئه في ذكر رقم الاستئناف المقام من الطاعن -</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يكون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واردا</w:t>
      </w:r>
      <w:r w:rsidRPr="009E7C33">
        <w:rPr>
          <w:rFonts w:ascii="Times New Roman" w:hAnsi="Times New Roman" w:cs="Times New Roman" w:hint="cs"/>
          <w:b/>
          <w:bCs/>
          <w:sz w:val="28"/>
          <w:szCs w:val="28"/>
          <w:rtl/>
        </w:rPr>
        <w:t>ً</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على</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غير</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محل</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من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قضاء</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الحكم</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المطعون</w:t>
      </w:r>
      <w:r w:rsidRPr="009E7C33">
        <w:rPr>
          <w:rFonts w:ascii="Times New Roman" w:hAnsi="Times New Roman" w:cs="Times New Roman"/>
          <w:b/>
          <w:bCs/>
          <w:sz w:val="28"/>
          <w:szCs w:val="28"/>
          <w:rtl/>
        </w:rPr>
        <w:t xml:space="preserve"> </w:t>
      </w:r>
      <w:r w:rsidRPr="009E7C33">
        <w:rPr>
          <w:rFonts w:ascii="Times New Roman" w:hAnsi="Times New Roman" w:cs="Times New Roman" w:hint="eastAsia"/>
          <w:b/>
          <w:bCs/>
          <w:sz w:val="28"/>
          <w:szCs w:val="28"/>
          <w:rtl/>
        </w:rPr>
        <w:t>فيه</w:t>
      </w:r>
      <w:r w:rsidRPr="009E7C33">
        <w:rPr>
          <w:rFonts w:ascii="Times New Roman" w:hAnsi="Times New Roman" w:cs="Times New Roman"/>
          <w:b/>
          <w:bCs/>
          <w:sz w:val="28"/>
          <w:szCs w:val="28"/>
          <w:rtl/>
        </w:rPr>
        <w:t xml:space="preserve">. </w:t>
      </w:r>
    </w:p>
    <w:p w14:paraId="48DC27EA" w14:textId="24D2DBE0" w:rsidR="009E7C33" w:rsidRPr="009E7C33" w:rsidRDefault="00472DC9" w:rsidP="009E7C33">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3- </w:t>
      </w:r>
      <w:r w:rsidR="009E7C33" w:rsidRPr="009E7C33">
        <w:rPr>
          <w:rFonts w:ascii="Times New Roman" w:hAnsi="Times New Roman" w:cs="Times New Roman" w:hint="eastAsia"/>
          <w:b/>
          <w:bCs/>
          <w:sz w:val="28"/>
          <w:szCs w:val="28"/>
          <w:rtl/>
        </w:rPr>
        <w:t>وحيث</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الحكم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المطعون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يكن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بحاجة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التدليل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انتماء</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الطاعن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لعصابة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منظمة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وعمله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لمصلحتها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طالما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الحكم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الابتدائي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المؤيد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لأسبابه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بالحكم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المطعون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استبعد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ذلك</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الوصف</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التهمتين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الأولى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والثانية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بعد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قامت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المحكمة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بتعديلهما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حيازة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مخدر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ومؤثر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عقلي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بقصد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الترويج</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أكثر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إمارة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إمارات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الدولة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أبوظب</w:t>
      </w:r>
      <w:r w:rsidR="009E7C33" w:rsidRPr="009E7C33">
        <w:rPr>
          <w:rFonts w:ascii="Times New Roman" w:hAnsi="Times New Roman" w:cs="Times New Roman" w:hint="cs"/>
          <w:b/>
          <w:bCs/>
          <w:sz w:val="28"/>
          <w:szCs w:val="28"/>
          <w:rtl/>
        </w:rPr>
        <w:t>ي</w:t>
      </w:r>
      <w:r w:rsidR="009E7C33" w:rsidRPr="009E7C33">
        <w:rPr>
          <w:rFonts w:ascii="Times New Roman" w:hAnsi="Times New Roman" w:cs="Times New Roman" w:hint="eastAsia"/>
          <w:b/>
          <w:bCs/>
          <w:sz w:val="28"/>
          <w:szCs w:val="28"/>
          <w:rtl/>
        </w:rPr>
        <w:t>،</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الشارقة</w:t>
      </w:r>
      <w:r w:rsidR="009E7C33" w:rsidRPr="009E7C33">
        <w:rPr>
          <w:rFonts w:ascii="Times New Roman" w:hAnsi="Times New Roman" w:cs="Times New Roman"/>
          <w:b/>
          <w:bCs/>
          <w:sz w:val="28"/>
          <w:szCs w:val="28"/>
          <w:rtl/>
        </w:rPr>
        <w:t>)</w:t>
      </w:r>
      <w:r w:rsidR="009E7C33">
        <w:rPr>
          <w:rFonts w:ascii="Times New Roman" w:hAnsi="Times New Roman" w:cs="Times New Roman" w:hint="cs"/>
          <w:b/>
          <w:bCs/>
          <w:sz w:val="28"/>
          <w:szCs w:val="28"/>
          <w:rtl/>
        </w:rPr>
        <w:t xml:space="preserve"> -</w:t>
      </w:r>
      <w:r w:rsidR="009E7C33" w:rsidRPr="009E7C33">
        <w:rPr>
          <w:rFonts w:ascii="Times New Roman" w:hAnsi="Times New Roman" w:cs="Times New Roman" w:hint="cs"/>
          <w:sz w:val="28"/>
          <w:szCs w:val="28"/>
          <w:rtl/>
        </w:rPr>
        <w:t>النعي على الحكم المطعون فيه بالخطأ</w:t>
      </w:r>
      <w:r w:rsidR="009E7C33">
        <w:rPr>
          <w:rFonts w:ascii="Times New Roman" w:hAnsi="Times New Roman" w:cs="Times New Roman" w:hint="cs"/>
          <w:b/>
          <w:bCs/>
          <w:sz w:val="28"/>
          <w:szCs w:val="28"/>
          <w:rtl/>
        </w:rPr>
        <w:t xml:space="preserve"> </w:t>
      </w:r>
      <w:r w:rsidR="009E7C33">
        <w:rPr>
          <w:rFonts w:ascii="Times New Roman" w:hAnsi="Times New Roman" w:cs="Times New Roman" w:hint="cs"/>
          <w:sz w:val="28"/>
          <w:szCs w:val="28"/>
          <w:rtl/>
        </w:rPr>
        <w:t xml:space="preserve">لخلوه </w:t>
      </w:r>
      <w:r w:rsidR="009E7C33" w:rsidRPr="009E7C33">
        <w:rPr>
          <w:rFonts w:ascii="Times New Roman" w:hAnsi="Times New Roman" w:cs="Times New Roman" w:hint="eastAsia"/>
          <w:sz w:val="28"/>
          <w:szCs w:val="28"/>
          <w:rtl/>
        </w:rPr>
        <w:t>من</w:t>
      </w:r>
      <w:r w:rsidR="009E7C33" w:rsidRPr="009E7C33">
        <w:rPr>
          <w:rFonts w:ascii="Times New Roman" w:hAnsi="Times New Roman" w:cs="Times New Roman"/>
          <w:sz w:val="28"/>
          <w:szCs w:val="28"/>
          <w:rtl/>
        </w:rPr>
        <w:t xml:space="preserve"> </w:t>
      </w:r>
      <w:r w:rsidR="009E7C33" w:rsidRPr="009E7C33">
        <w:rPr>
          <w:rFonts w:ascii="Times New Roman" w:hAnsi="Times New Roman" w:cs="Times New Roman" w:hint="eastAsia"/>
          <w:sz w:val="28"/>
          <w:szCs w:val="28"/>
          <w:rtl/>
        </w:rPr>
        <w:t>التدليل</w:t>
      </w:r>
      <w:r w:rsidR="009E7C33" w:rsidRPr="009E7C33">
        <w:rPr>
          <w:rFonts w:ascii="Times New Roman" w:hAnsi="Times New Roman" w:cs="Times New Roman"/>
          <w:sz w:val="28"/>
          <w:szCs w:val="28"/>
          <w:rtl/>
        </w:rPr>
        <w:t xml:space="preserve"> </w:t>
      </w:r>
      <w:r w:rsidR="009E7C33" w:rsidRPr="009E7C33">
        <w:rPr>
          <w:rFonts w:ascii="Times New Roman" w:hAnsi="Times New Roman" w:cs="Times New Roman" w:hint="eastAsia"/>
          <w:sz w:val="28"/>
          <w:szCs w:val="28"/>
          <w:rtl/>
        </w:rPr>
        <w:t>على</w:t>
      </w:r>
      <w:r w:rsidR="009E7C33" w:rsidRPr="009E7C33">
        <w:rPr>
          <w:rFonts w:ascii="Times New Roman" w:hAnsi="Times New Roman" w:cs="Times New Roman"/>
          <w:sz w:val="28"/>
          <w:szCs w:val="28"/>
          <w:rtl/>
        </w:rPr>
        <w:t xml:space="preserve"> </w:t>
      </w:r>
      <w:r w:rsidR="009E7C33" w:rsidRPr="009E7C33">
        <w:rPr>
          <w:rFonts w:ascii="Times New Roman" w:hAnsi="Times New Roman" w:cs="Times New Roman" w:hint="eastAsia"/>
          <w:sz w:val="28"/>
          <w:szCs w:val="28"/>
          <w:rtl/>
        </w:rPr>
        <w:t>انتما</w:t>
      </w:r>
      <w:r w:rsidR="009E7C33">
        <w:rPr>
          <w:rFonts w:ascii="Times New Roman" w:hAnsi="Times New Roman" w:cs="Times New Roman" w:hint="cs"/>
          <w:sz w:val="28"/>
          <w:szCs w:val="28"/>
          <w:rtl/>
        </w:rPr>
        <w:t xml:space="preserve">ء الطاعن إلى </w:t>
      </w:r>
      <w:r w:rsidR="009E7C33" w:rsidRPr="009E7C33">
        <w:rPr>
          <w:rFonts w:ascii="Times New Roman" w:hAnsi="Times New Roman" w:cs="Times New Roman" w:hint="eastAsia"/>
          <w:sz w:val="28"/>
          <w:szCs w:val="28"/>
          <w:rtl/>
        </w:rPr>
        <w:t>عصابة</w:t>
      </w:r>
      <w:r w:rsidR="009E7C33" w:rsidRPr="009E7C33">
        <w:rPr>
          <w:rFonts w:ascii="Times New Roman" w:hAnsi="Times New Roman" w:cs="Times New Roman"/>
          <w:sz w:val="28"/>
          <w:szCs w:val="28"/>
          <w:rtl/>
        </w:rPr>
        <w:t xml:space="preserve"> </w:t>
      </w:r>
      <w:r w:rsidR="009E7C33" w:rsidRPr="009E7C33">
        <w:rPr>
          <w:rFonts w:ascii="Times New Roman" w:hAnsi="Times New Roman" w:cs="Times New Roman" w:hint="eastAsia"/>
          <w:sz w:val="28"/>
          <w:szCs w:val="28"/>
          <w:rtl/>
        </w:rPr>
        <w:t>منظمة</w:t>
      </w:r>
      <w:r w:rsidR="009E7C33" w:rsidRPr="009E7C33">
        <w:rPr>
          <w:rFonts w:ascii="Times New Roman" w:hAnsi="Times New Roman" w:cs="Times New Roman"/>
          <w:sz w:val="28"/>
          <w:szCs w:val="28"/>
          <w:rtl/>
        </w:rPr>
        <w:t xml:space="preserve"> </w:t>
      </w:r>
      <w:r w:rsidR="009E7C33" w:rsidRPr="009E7C33">
        <w:rPr>
          <w:rFonts w:ascii="Times New Roman" w:hAnsi="Times New Roman" w:cs="Times New Roman" w:hint="eastAsia"/>
          <w:sz w:val="28"/>
          <w:szCs w:val="28"/>
          <w:rtl/>
        </w:rPr>
        <w:t>وعمله</w:t>
      </w:r>
      <w:r w:rsidR="009E7C33" w:rsidRPr="009E7C33">
        <w:rPr>
          <w:rFonts w:ascii="Times New Roman" w:hAnsi="Times New Roman" w:cs="Times New Roman"/>
          <w:sz w:val="28"/>
          <w:szCs w:val="28"/>
          <w:rtl/>
        </w:rPr>
        <w:t xml:space="preserve"> </w:t>
      </w:r>
      <w:r w:rsidR="009E7C33" w:rsidRPr="009E7C33">
        <w:rPr>
          <w:rFonts w:ascii="Times New Roman" w:hAnsi="Times New Roman" w:cs="Times New Roman" w:hint="eastAsia"/>
          <w:sz w:val="28"/>
          <w:szCs w:val="28"/>
          <w:rtl/>
        </w:rPr>
        <w:t>لمصلحتها</w:t>
      </w:r>
      <w:r w:rsidR="009E7C33">
        <w:rPr>
          <w:rFonts w:ascii="Times New Roman" w:hAnsi="Times New Roman" w:cs="Times New Roman" w:hint="cs"/>
          <w:sz w:val="28"/>
          <w:szCs w:val="28"/>
          <w:rtl/>
        </w:rPr>
        <w:t xml:space="preserve"> نعي غير سديد-</w:t>
      </w:r>
      <w:r w:rsidR="009E7C33" w:rsidRPr="009E7C33">
        <w:rPr>
          <w:rFonts w:ascii="Times New Roman" w:hAnsi="Times New Roman" w:cs="Times New Roman"/>
          <w:b/>
          <w:bCs/>
          <w:sz w:val="28"/>
          <w:szCs w:val="28"/>
          <w:rtl/>
        </w:rPr>
        <w:t xml:space="preserve">. </w:t>
      </w:r>
    </w:p>
    <w:p w14:paraId="40F42595" w14:textId="7B5648C6" w:rsidR="009E7C33" w:rsidRDefault="00472DC9" w:rsidP="009E7C33">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4- المقرر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القوانين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الإجرائية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تسر</w:t>
      </w:r>
      <w:r w:rsidR="009E7C33" w:rsidRPr="009E7C33">
        <w:rPr>
          <w:rFonts w:ascii="Times New Roman" w:hAnsi="Times New Roman" w:cs="Times New Roman" w:hint="cs"/>
          <w:b/>
          <w:bCs/>
          <w:sz w:val="28"/>
          <w:szCs w:val="28"/>
          <w:rtl/>
        </w:rPr>
        <w:t>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بأثر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فور</w:t>
      </w:r>
      <w:r w:rsidR="009E7C33" w:rsidRPr="009E7C33">
        <w:rPr>
          <w:rFonts w:ascii="Times New Roman" w:hAnsi="Times New Roman" w:cs="Times New Roman" w:hint="cs"/>
          <w:b/>
          <w:bCs/>
          <w:sz w:val="28"/>
          <w:szCs w:val="28"/>
          <w:rtl/>
        </w:rPr>
        <w:t>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يكن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فصل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الدعاوى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يكن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الإجراءات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قبل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تاريخ</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العمل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وكانت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المحكمة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المطعون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حكمها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نظرت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محاكمة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الطاعن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الذ</w:t>
      </w:r>
      <w:r w:rsidR="009E7C33" w:rsidRPr="009E7C33">
        <w:rPr>
          <w:rFonts w:ascii="Times New Roman" w:hAnsi="Times New Roman" w:cs="Times New Roman" w:hint="cs"/>
          <w:b/>
          <w:bCs/>
          <w:sz w:val="28"/>
          <w:szCs w:val="28"/>
          <w:rtl/>
        </w:rPr>
        <w:t>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أدين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بجرائم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بينها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جريمتا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حيازة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مخدر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ومؤثر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عقلي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بقصد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الترويج</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أكثر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إمارة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إمارات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الدولة،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ثم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تكون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مختصة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الوجوه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بنظر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الدعوى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الجزائية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بالنسبة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قبل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lastRenderedPageBreak/>
        <w:t>وبعد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تعديل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المادة</w:t>
      </w:r>
      <w:r w:rsidR="009E7C33" w:rsidRPr="009E7C33">
        <w:rPr>
          <w:rFonts w:ascii="Times New Roman" w:hAnsi="Times New Roman" w:cs="Times New Roman"/>
          <w:b/>
          <w:bCs/>
          <w:sz w:val="28"/>
          <w:szCs w:val="28"/>
          <w:rtl/>
        </w:rPr>
        <w:t xml:space="preserve"> 88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المرسوم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بقانون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اتحادي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رقم</w:t>
      </w:r>
      <w:r w:rsidR="009E7C33" w:rsidRPr="009E7C33">
        <w:rPr>
          <w:rFonts w:ascii="Times New Roman" w:hAnsi="Times New Roman" w:cs="Times New Roman"/>
          <w:b/>
          <w:bCs/>
          <w:sz w:val="28"/>
          <w:szCs w:val="28"/>
          <w:rtl/>
        </w:rPr>
        <w:t xml:space="preserve"> 30 </w:t>
      </w:r>
      <w:r w:rsidR="009E7C33" w:rsidRPr="009E7C33">
        <w:rPr>
          <w:rFonts w:ascii="Times New Roman" w:hAnsi="Times New Roman" w:cs="Times New Roman" w:hint="eastAsia"/>
          <w:b/>
          <w:bCs/>
          <w:sz w:val="28"/>
          <w:szCs w:val="28"/>
          <w:rtl/>
        </w:rPr>
        <w:t>لسنة</w:t>
      </w:r>
      <w:r w:rsidR="009E7C33" w:rsidRPr="009E7C33">
        <w:rPr>
          <w:rFonts w:ascii="Times New Roman" w:hAnsi="Times New Roman" w:cs="Times New Roman"/>
          <w:b/>
          <w:bCs/>
          <w:sz w:val="28"/>
          <w:szCs w:val="28"/>
          <w:rtl/>
        </w:rPr>
        <w:t xml:space="preserve"> 2021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شأن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مكافحة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المواد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المخدرة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والمؤثرات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العقلية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ويضح</w:t>
      </w:r>
      <w:r w:rsidR="009E7C33" w:rsidRPr="009E7C33">
        <w:rPr>
          <w:rFonts w:ascii="Times New Roman" w:hAnsi="Times New Roman" w:cs="Times New Roman" w:hint="cs"/>
          <w:b/>
          <w:bCs/>
          <w:sz w:val="28"/>
          <w:szCs w:val="28"/>
          <w:rtl/>
        </w:rPr>
        <w:t>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يثيره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الطاعن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شأن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تاريخ</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ارتكاب</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الجريمة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وإعمال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تلك</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المادة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المرسوم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بقانون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سالف</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الذكر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حقه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غير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قادح</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ذلك</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الاختصاص</w:t>
      </w:r>
      <w:r w:rsidR="009E7C33" w:rsidRPr="009E7C33">
        <w:rPr>
          <w:rFonts w:ascii="Times New Roman" w:hAnsi="Times New Roman" w:cs="Times New Roman"/>
          <w:b/>
          <w:bCs/>
          <w:sz w:val="28"/>
          <w:szCs w:val="28"/>
          <w:rtl/>
        </w:rPr>
        <w:t xml:space="preserve">. </w:t>
      </w:r>
    </w:p>
    <w:p w14:paraId="71529C58" w14:textId="77A0E23F" w:rsidR="009E7C33" w:rsidRDefault="00472DC9" w:rsidP="009E7C33">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5-</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المقرر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تقدير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جدية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التحريات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وكفايتها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لإصدار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إذن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التفتيش</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هو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المسائل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الموضوعية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التي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يوكل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الأمر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سلطة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التحقيق</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تحت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إشراف</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محكمة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الموضوع</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ومتى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اقتنعت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المحكمة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بجدية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الاستدلالات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التي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بنى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عليها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إذن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التفتيش</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وكفايتها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لتسويغ</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إصداره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 xml:space="preserve">- </w:t>
      </w:r>
      <w:r w:rsidR="009E7C33" w:rsidRPr="009E7C33">
        <w:rPr>
          <w:rFonts w:ascii="Times New Roman" w:hAnsi="Times New Roman" w:cs="Times New Roman" w:hint="eastAsia"/>
          <w:b/>
          <w:bCs/>
          <w:sz w:val="28"/>
          <w:szCs w:val="28"/>
          <w:rtl/>
        </w:rPr>
        <w:t>كما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هو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الشأن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الدعوى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المطروحة</w:t>
      </w:r>
      <w:r w:rsidR="009E7C33" w:rsidRPr="009E7C33">
        <w:rPr>
          <w:rFonts w:ascii="Times New Roman" w:hAnsi="Times New Roman" w:cs="Times New Roman" w:hint="cs"/>
          <w:b/>
          <w:bCs/>
          <w:sz w:val="28"/>
          <w:szCs w:val="28"/>
          <w:rtl/>
        </w:rPr>
        <w:t xml:space="preserve"> -</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وأقرت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النيابة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تصرفها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هذا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الشأن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فإنه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معقب</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عليها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hint="cs"/>
          <w:b/>
          <w:bCs/>
          <w:sz w:val="28"/>
          <w:szCs w:val="28"/>
          <w:rtl/>
        </w:rPr>
        <w:t xml:space="preserve"> </w:t>
      </w:r>
      <w:r w:rsidR="009E7C33" w:rsidRPr="009E7C33">
        <w:rPr>
          <w:rFonts w:ascii="Times New Roman" w:hAnsi="Times New Roman" w:cs="Times New Roman" w:hint="eastAsia"/>
          <w:b/>
          <w:bCs/>
          <w:sz w:val="28"/>
          <w:szCs w:val="28"/>
          <w:rtl/>
        </w:rPr>
        <w:t>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ارتأته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لتعلقه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بالموضوع</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بالقانون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ولما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كانت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المحكمة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الابتدائية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المؤيد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حكمها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لأسبابه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بالحكم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المطعون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سوغت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الأمر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بالتفتيش</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وردت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الدفع</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ببطلانه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لعدم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جدية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التحريات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رداً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سائغاً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وكافياً،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فإن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النعي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الحكم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هذا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الشأن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يكون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محل</w:t>
      </w:r>
      <w:r w:rsidR="009E7C33" w:rsidRPr="009E7C33">
        <w:rPr>
          <w:rFonts w:ascii="Times New Roman" w:hAnsi="Times New Roman" w:cs="Times New Roman"/>
          <w:b/>
          <w:bCs/>
          <w:sz w:val="28"/>
          <w:szCs w:val="28"/>
          <w:rtl/>
        </w:rPr>
        <w:t>.</w:t>
      </w:r>
    </w:p>
    <w:p w14:paraId="0944C64C" w14:textId="0442EEC3" w:rsidR="009E7C33" w:rsidRDefault="00472DC9" w:rsidP="009E7C33">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6-</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المقرر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 xml:space="preserve">-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قضاء</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المحكمة</w:t>
      </w:r>
      <w:r>
        <w:rPr>
          <w:rFonts w:ascii="Times New Roman" w:hAnsi="Times New Roman" w:cs="Times New Roman" w:hint="cs"/>
          <w:b/>
          <w:bCs/>
          <w:sz w:val="28"/>
          <w:szCs w:val="28"/>
          <w:rtl/>
        </w:rPr>
        <w:t xml:space="preserve"> الاتحادية العليا</w:t>
      </w:r>
      <w:r w:rsidR="009E7C33" w:rsidRPr="009E7C33">
        <w:rPr>
          <w:rFonts w:ascii="Times New Roman" w:hAnsi="Times New Roman" w:cs="Times New Roman" w:hint="cs"/>
          <w:b/>
          <w:bCs/>
          <w:sz w:val="28"/>
          <w:szCs w:val="28"/>
          <w:rtl/>
        </w:rPr>
        <w:t xml:space="preserve"> -</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مناط</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المسؤولية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حالتي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حيازة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المواد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المخدرة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والمؤثرات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العقلية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هو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ثبوت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اتصال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الجاني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بالمخدر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المؤثر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العقلي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اتصالا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مباشرا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بالواسطة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وبسط</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سلطانه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بأية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صورة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وإرادة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بحيازة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المخدر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المؤثر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العقلي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حيازة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مادية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بوضع</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يده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سبيل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الملك</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والاختصاص</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ولو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تتحقق</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الحيازة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المادية</w:t>
      </w:r>
      <w:r w:rsidR="009E7C33" w:rsidRPr="009E7C33">
        <w:rPr>
          <w:rFonts w:ascii="Times New Roman" w:hAnsi="Times New Roman" w:cs="Times New Roman" w:hint="cs"/>
          <w:b/>
          <w:bCs/>
          <w:sz w:val="28"/>
          <w:szCs w:val="28"/>
          <w:rtl/>
        </w:rPr>
        <w:t>،</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وكان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توافر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قصد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w:t>
      </w:r>
      <w:r w:rsidR="009E7C33" w:rsidRPr="009E7C33">
        <w:rPr>
          <w:rFonts w:ascii="Times New Roman" w:hAnsi="Times New Roman" w:cs="Times New Roman" w:hint="cs"/>
          <w:b/>
          <w:bCs/>
          <w:sz w:val="28"/>
          <w:szCs w:val="28"/>
          <w:rtl/>
        </w:rPr>
        <w:t>ا</w:t>
      </w:r>
      <w:r w:rsidR="009E7C33" w:rsidRPr="009E7C33">
        <w:rPr>
          <w:rFonts w:ascii="Times New Roman" w:hAnsi="Times New Roman" w:cs="Times New Roman" w:hint="eastAsia"/>
          <w:b/>
          <w:bCs/>
          <w:sz w:val="28"/>
          <w:szCs w:val="28"/>
          <w:rtl/>
        </w:rPr>
        <w:t>تجار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الترويج</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هو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الأمور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الموضوعية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تستقل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محكمة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الموضوع</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بتقديرها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بغير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معقب</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ما</w:t>
      </w:r>
      <w:r w:rsidR="009E7C33" w:rsidRPr="009E7C33">
        <w:rPr>
          <w:rFonts w:ascii="Times New Roman" w:hAnsi="Times New Roman" w:cs="Times New Roman" w:hint="cs"/>
          <w:b/>
          <w:bCs/>
          <w:sz w:val="28"/>
          <w:szCs w:val="28"/>
          <w:rtl/>
        </w:rPr>
        <w:t xml:space="preserve"> </w:t>
      </w:r>
      <w:r w:rsidR="009E7C33" w:rsidRPr="009E7C33">
        <w:rPr>
          <w:rFonts w:ascii="Times New Roman" w:hAnsi="Times New Roman" w:cs="Times New Roman" w:hint="eastAsia"/>
          <w:b/>
          <w:bCs/>
          <w:sz w:val="28"/>
          <w:szCs w:val="28"/>
          <w:rtl/>
        </w:rPr>
        <w:t>دام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تقديرها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سائغا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كان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ذلك،</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وكان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الحكم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دلل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حيازة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الطاعن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للمخدر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والمؤثر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العقلي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المضبوطين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وبسط</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سلطانه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عليهما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وإرادة،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أقام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الحجة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حيازته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لهما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كانت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بقصد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الترويج،</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وذلك</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تحصيله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للواقعة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وسرده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لمؤدى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أدلة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الثبوت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ورده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دفوع</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الطاعن،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ولما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كان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استخلاص</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هذا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القصد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جاء</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سائغا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إظهار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اقتناع</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المحكمة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بثبوته</w:t>
      </w:r>
      <w:r w:rsidR="009E7C33" w:rsidRPr="009E7C33">
        <w:rPr>
          <w:rFonts w:ascii="Times New Roman" w:hAnsi="Times New Roman" w:cs="Times New Roman" w:hint="cs"/>
          <w:b/>
          <w:bCs/>
          <w:sz w:val="28"/>
          <w:szCs w:val="28"/>
          <w:rtl/>
        </w:rPr>
        <w:t>،</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يضح</w:t>
      </w:r>
      <w:r w:rsidR="009E7C33" w:rsidRPr="009E7C33">
        <w:rPr>
          <w:rFonts w:ascii="Times New Roman" w:hAnsi="Times New Roman" w:cs="Times New Roman" w:hint="cs"/>
          <w:b/>
          <w:bCs/>
          <w:sz w:val="28"/>
          <w:szCs w:val="28"/>
          <w:rtl/>
        </w:rPr>
        <w:t>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معه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النع</w:t>
      </w:r>
      <w:r w:rsidR="009E7C33" w:rsidRPr="009E7C33">
        <w:rPr>
          <w:rFonts w:ascii="Times New Roman" w:hAnsi="Times New Roman" w:cs="Times New Roman" w:hint="cs"/>
          <w:b/>
          <w:bCs/>
          <w:sz w:val="28"/>
          <w:szCs w:val="28"/>
          <w:rtl/>
        </w:rPr>
        <w:t>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مجرد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جدل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موضوعي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hint="cs"/>
          <w:b/>
          <w:bCs/>
          <w:sz w:val="28"/>
          <w:szCs w:val="28"/>
          <w:rtl/>
        </w:rPr>
        <w:t xml:space="preserve"> </w:t>
      </w:r>
      <w:r w:rsidR="009E7C33" w:rsidRPr="009E7C33">
        <w:rPr>
          <w:rFonts w:ascii="Times New Roman" w:hAnsi="Times New Roman" w:cs="Times New Roman" w:hint="eastAsia"/>
          <w:b/>
          <w:bCs/>
          <w:sz w:val="28"/>
          <w:szCs w:val="28"/>
          <w:rtl/>
        </w:rPr>
        <w:t>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لمحكمة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الموضوع</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سلطة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فهمه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وتقدير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أدلته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تجوز</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إ</w:t>
      </w:r>
      <w:r w:rsidR="009E7C33" w:rsidRPr="009E7C33">
        <w:rPr>
          <w:rFonts w:ascii="Times New Roman" w:hAnsi="Times New Roman" w:cs="Times New Roman" w:hint="eastAsia"/>
          <w:b/>
          <w:bCs/>
          <w:sz w:val="28"/>
          <w:szCs w:val="28"/>
          <w:rtl/>
        </w:rPr>
        <w:t>ثارته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أمام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هذه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المحكمة</w:t>
      </w:r>
      <w:r w:rsidR="009E7C33" w:rsidRPr="009E7C33">
        <w:rPr>
          <w:rFonts w:ascii="Times New Roman" w:hAnsi="Times New Roman" w:cs="Times New Roman"/>
          <w:b/>
          <w:bCs/>
          <w:sz w:val="28"/>
          <w:szCs w:val="28"/>
          <w:rtl/>
        </w:rPr>
        <w:t>.</w:t>
      </w:r>
    </w:p>
    <w:p w14:paraId="2E77FB7F" w14:textId="28F6A6A1" w:rsidR="009E7C33" w:rsidRPr="009E7C33" w:rsidRDefault="00F97C4A" w:rsidP="009E7C33">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7- المقرر أن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المشرع</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المسائل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الجزائية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أمد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القاضي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بسلطة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واسعة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وحرية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كاملة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سبيل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تقص</w:t>
      </w:r>
      <w:r w:rsidR="009E7C33" w:rsidRPr="009E7C33">
        <w:rPr>
          <w:rFonts w:ascii="Times New Roman" w:hAnsi="Times New Roman" w:cs="Times New Roman" w:hint="cs"/>
          <w:b/>
          <w:bCs/>
          <w:sz w:val="28"/>
          <w:szCs w:val="28"/>
          <w:rtl/>
        </w:rPr>
        <w:t>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ثبوت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الجرائم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عدم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ثبوتها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والوقوف</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حقيقة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علاقة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المتهم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ومدى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اتصاله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ففتح</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باب</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الإثبات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مصراعيه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يختار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طرقه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يراه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موصلاً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الكشف</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الحقيقة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ويزن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قوة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الإثبات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المستمدة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عنصر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بمحض</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وجدانه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فيأخذ</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تطمئن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إليه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عقيدته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ويطرح</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ترتاح</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إليه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غير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ملزم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بأن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يسترشد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قضائه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بقرائن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معينة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مطلق</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الحرية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تقدير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يعرض</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ووزن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قوته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التدليلية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حالة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حسبما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يستفاد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وقائع</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الدعوى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وظروفها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بغية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الحقيقة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التي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ينشدها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أي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سبيل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يجده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مؤدياً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إليها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ولا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رقيب</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ذلك</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غير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ضميره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وحده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هذا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هو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الأصل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الذ</w:t>
      </w:r>
      <w:r w:rsidR="009E7C33" w:rsidRPr="009E7C33">
        <w:rPr>
          <w:rFonts w:ascii="Times New Roman" w:hAnsi="Times New Roman" w:cs="Times New Roman" w:hint="cs"/>
          <w:b/>
          <w:bCs/>
          <w:sz w:val="28"/>
          <w:szCs w:val="28"/>
          <w:rtl/>
        </w:rPr>
        <w:t>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أقام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القانون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الجزائي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قواعد</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الإثبات</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لتكون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موائمة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تستلزمه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طبيعة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الأفعال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الجنائية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وتقتضيه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مصلحة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الجماعة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وجوب</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معاقبة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جان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وتبرئة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بر</w:t>
      </w:r>
      <w:r w:rsidR="009E7C33" w:rsidRPr="009E7C33">
        <w:rPr>
          <w:rFonts w:ascii="Times New Roman" w:hAnsi="Times New Roman" w:cs="Times New Roman" w:hint="cs"/>
          <w:b/>
          <w:bCs/>
          <w:sz w:val="28"/>
          <w:szCs w:val="28"/>
          <w:rtl/>
        </w:rPr>
        <w:t>يء</w:t>
      </w:r>
      <w:r w:rsidR="009E7C33" w:rsidRPr="009E7C33">
        <w:rPr>
          <w:rFonts w:ascii="Times New Roman" w:hAnsi="Times New Roman" w:cs="Times New Roman" w:hint="eastAsia"/>
          <w:b/>
          <w:bCs/>
          <w:sz w:val="28"/>
          <w:szCs w:val="28"/>
          <w:rtl/>
        </w:rPr>
        <w:t>،</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فإن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ينعاه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الطاعن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تعويل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الحكم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أدلة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lastRenderedPageBreak/>
        <w:t>مبتورة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ودلائل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افتراضية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ينحل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جدل</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موضوعي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حق</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محكمة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الموضوع</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في</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تقدير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أدلة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الدعوى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وتكوين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معتقدها،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وهو</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يجوز</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إثارته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أمام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المحكمة</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العليا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لما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كان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cs"/>
          <w:b/>
          <w:bCs/>
          <w:sz w:val="28"/>
          <w:szCs w:val="28"/>
          <w:rtl/>
        </w:rPr>
        <w:t>تقدم،</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ف</w:t>
      </w:r>
      <w:r w:rsidR="009E7C33" w:rsidRPr="009E7C33">
        <w:rPr>
          <w:rFonts w:ascii="Times New Roman" w:hAnsi="Times New Roman" w:cs="Times New Roman" w:hint="cs"/>
          <w:b/>
          <w:bCs/>
          <w:sz w:val="28"/>
          <w:szCs w:val="28"/>
          <w:rtl/>
        </w:rPr>
        <w:t>إ</w:t>
      </w:r>
      <w:r w:rsidR="009E7C33" w:rsidRPr="009E7C33">
        <w:rPr>
          <w:rFonts w:ascii="Times New Roman" w:hAnsi="Times New Roman" w:cs="Times New Roman" w:hint="eastAsia"/>
          <w:b/>
          <w:bCs/>
          <w:sz w:val="28"/>
          <w:szCs w:val="28"/>
          <w:rtl/>
        </w:rPr>
        <w:t>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الطعن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برمته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يكون</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على</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غير</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أساس</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متعينا</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رفضه</w:t>
      </w:r>
      <w:r w:rsidR="009E7C33" w:rsidRPr="009E7C33">
        <w:rPr>
          <w:rFonts w:ascii="Times New Roman" w:hAnsi="Times New Roman" w:cs="Times New Roman"/>
          <w:b/>
          <w:bCs/>
          <w:sz w:val="28"/>
          <w:szCs w:val="28"/>
          <w:rtl/>
        </w:rPr>
        <w:t xml:space="preserve"> </w:t>
      </w:r>
      <w:r w:rsidR="009E7C33" w:rsidRPr="009E7C33">
        <w:rPr>
          <w:rFonts w:ascii="Times New Roman" w:hAnsi="Times New Roman" w:cs="Times New Roman" w:hint="eastAsia"/>
          <w:b/>
          <w:bCs/>
          <w:sz w:val="28"/>
          <w:szCs w:val="28"/>
          <w:rtl/>
        </w:rPr>
        <w:t>موضوعا</w:t>
      </w:r>
      <w:r w:rsidR="009E7C33" w:rsidRPr="009E7C33">
        <w:rPr>
          <w:rFonts w:ascii="Times New Roman" w:hAnsi="Times New Roman" w:cs="Times New Roman" w:hint="cs"/>
          <w:b/>
          <w:bCs/>
          <w:sz w:val="28"/>
          <w:szCs w:val="28"/>
          <w:rtl/>
        </w:rPr>
        <w:t>ً</w:t>
      </w:r>
      <w:r w:rsidR="009E7C33" w:rsidRPr="009E7C33">
        <w:rPr>
          <w:rFonts w:ascii="Times New Roman" w:hAnsi="Times New Roman" w:cs="Times New Roman"/>
          <w:b/>
          <w:bCs/>
          <w:sz w:val="28"/>
          <w:szCs w:val="28"/>
          <w:rtl/>
        </w:rPr>
        <w:t>.</w:t>
      </w:r>
    </w:p>
    <w:p w14:paraId="746250BD" w14:textId="77777777" w:rsidR="00F6239B" w:rsidRDefault="00F6239B" w:rsidP="00F6239B">
      <w:pPr>
        <w:spacing w:line="360" w:lineRule="auto"/>
        <w:jc w:val="center"/>
        <w:rPr>
          <w:rFonts w:ascii="Times New Roman" w:hAnsi="Times New Roman" w:cs="Times New Roman"/>
          <w:b/>
          <w:bCs/>
          <w:sz w:val="32"/>
          <w:rtl/>
        </w:rPr>
      </w:pPr>
      <w:r w:rsidRPr="00F6239B">
        <w:rPr>
          <w:rFonts w:ascii="Times New Roman" w:hAnsi="Times New Roman" w:cs="Times New Roman"/>
          <w:b/>
          <w:bCs/>
          <w:sz w:val="32"/>
          <w:rtl/>
        </w:rPr>
        <w:t>المحكمة</w:t>
      </w:r>
    </w:p>
    <w:p w14:paraId="47E36569" w14:textId="1164BF29" w:rsidR="00AB5B80" w:rsidRDefault="00AB5B80" w:rsidP="00F6239B">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w:t>
      </w:r>
    </w:p>
    <w:p w14:paraId="4A2E5A02" w14:textId="77777777" w:rsidR="00AB5B80" w:rsidRPr="00F6239B" w:rsidRDefault="00AB5B80" w:rsidP="00F6239B">
      <w:pPr>
        <w:spacing w:line="360" w:lineRule="auto"/>
        <w:jc w:val="center"/>
        <w:rPr>
          <w:rFonts w:ascii="Times New Roman" w:hAnsi="Times New Roman" w:cs="Times New Roman"/>
          <w:b/>
          <w:bCs/>
          <w:sz w:val="32"/>
          <w:rtl/>
        </w:rPr>
      </w:pPr>
    </w:p>
    <w:p w14:paraId="769189A0" w14:textId="77777777" w:rsidR="00F6239B" w:rsidRPr="00F6239B" w:rsidRDefault="00F6239B" w:rsidP="00F6239B">
      <w:pPr>
        <w:spacing w:line="360" w:lineRule="auto"/>
        <w:ind w:firstLine="360"/>
        <w:jc w:val="both"/>
        <w:rPr>
          <w:rFonts w:asciiTheme="majorBidi" w:hAnsiTheme="majorBidi" w:cstheme="majorBidi"/>
          <w:sz w:val="32"/>
          <w:rtl/>
        </w:rPr>
      </w:pPr>
      <w:r w:rsidRPr="00F6239B">
        <w:rPr>
          <w:rFonts w:asciiTheme="majorBidi" w:hAnsiTheme="majorBidi" w:cstheme="majorBidi"/>
          <w:sz w:val="32"/>
          <w:rtl/>
        </w:rPr>
        <w:t>حيث إن الطعن استوفى الأوضاع الشكلية المقررة قانونا.</w:t>
      </w:r>
    </w:p>
    <w:p w14:paraId="3707E016" w14:textId="1CE8D2BF" w:rsidR="00F6239B" w:rsidRPr="00F6239B" w:rsidRDefault="00F6239B" w:rsidP="00F6239B">
      <w:pPr>
        <w:spacing w:line="360" w:lineRule="auto"/>
        <w:ind w:firstLine="360"/>
        <w:jc w:val="both"/>
        <w:rPr>
          <w:rFonts w:asciiTheme="majorBidi" w:hAnsiTheme="majorBidi" w:cstheme="majorBidi"/>
          <w:sz w:val="32"/>
          <w:rtl/>
        </w:rPr>
      </w:pPr>
      <w:r w:rsidRPr="00F6239B">
        <w:rPr>
          <w:rFonts w:asciiTheme="majorBidi" w:hAnsiTheme="majorBidi" w:cstheme="majorBidi"/>
          <w:sz w:val="32"/>
          <w:rtl/>
        </w:rPr>
        <w:t xml:space="preserve">وحيث إن الوقائع -على ما يبين من الحكم المطعون فيه وسائر الأوراق- تتحصل في أن النيابة العامة أحالت الطاعن إلى المحاكمة الجزائية بوصف أنه بتاريخ 28/9/2023 بدائرة </w:t>
      </w:r>
      <w:r w:rsidR="00AB5B80">
        <w:rPr>
          <w:rFonts w:asciiTheme="majorBidi" w:hAnsiTheme="majorBidi" w:cstheme="majorBidi" w:hint="cs"/>
          <w:sz w:val="32"/>
          <w:rtl/>
        </w:rPr>
        <w:t>...</w:t>
      </w:r>
      <w:r>
        <w:rPr>
          <w:rFonts w:asciiTheme="majorBidi" w:hAnsiTheme="majorBidi" w:cstheme="majorBidi" w:hint="cs"/>
          <w:sz w:val="32"/>
          <w:rtl/>
        </w:rPr>
        <w:t xml:space="preserve"> </w:t>
      </w:r>
      <w:r w:rsidRPr="00F6239B">
        <w:rPr>
          <w:rFonts w:asciiTheme="majorBidi" w:hAnsiTheme="majorBidi" w:cstheme="majorBidi"/>
          <w:sz w:val="32"/>
          <w:rtl/>
        </w:rPr>
        <w:t>حالة كونه يعمل ضمن عصابة منظمة ولمصلحتها:</w:t>
      </w:r>
    </w:p>
    <w:p w14:paraId="442C860E" w14:textId="77777777" w:rsidR="00F6239B" w:rsidRPr="00F6239B" w:rsidRDefault="00F6239B" w:rsidP="00F6239B">
      <w:pPr>
        <w:spacing w:line="360" w:lineRule="auto"/>
        <w:jc w:val="both"/>
        <w:rPr>
          <w:rFonts w:asciiTheme="majorBidi" w:hAnsiTheme="majorBidi" w:cstheme="majorBidi"/>
          <w:sz w:val="32"/>
          <w:rtl/>
        </w:rPr>
      </w:pPr>
      <w:r w:rsidRPr="00F6239B">
        <w:rPr>
          <w:rFonts w:asciiTheme="majorBidi" w:hAnsiTheme="majorBidi" w:cstheme="majorBidi"/>
          <w:sz w:val="32"/>
          <w:rtl/>
        </w:rPr>
        <w:t>1- حاز وآخرون مجهولون بقصد الاتجار مادة مخدرة (القنبيات المصنعة) في غير الأحوال المصرح بها قانونا، على النحو المبين بالتحقيقات.</w:t>
      </w:r>
    </w:p>
    <w:p w14:paraId="7B1FADA9" w14:textId="4DB49249" w:rsidR="00F6239B" w:rsidRPr="00F6239B" w:rsidRDefault="00F6239B" w:rsidP="00F6239B">
      <w:pPr>
        <w:spacing w:line="360" w:lineRule="auto"/>
        <w:jc w:val="both"/>
        <w:rPr>
          <w:rFonts w:asciiTheme="majorBidi" w:hAnsiTheme="majorBidi" w:cstheme="majorBidi"/>
          <w:sz w:val="32"/>
          <w:rtl/>
        </w:rPr>
      </w:pPr>
      <w:r w:rsidRPr="00F6239B">
        <w:rPr>
          <w:rFonts w:asciiTheme="majorBidi" w:hAnsiTheme="majorBidi" w:cstheme="majorBidi"/>
          <w:sz w:val="32"/>
          <w:rtl/>
        </w:rPr>
        <w:t>2- حاز وآخرون مجهولون بقصد الاتجار مؤثراً عقلياً (</w:t>
      </w:r>
      <w:r w:rsidR="00260FF6" w:rsidRPr="00F6239B">
        <w:rPr>
          <w:rFonts w:asciiTheme="majorBidi" w:hAnsiTheme="majorBidi" w:cstheme="majorBidi" w:hint="cs"/>
          <w:sz w:val="32"/>
          <w:rtl/>
        </w:rPr>
        <w:t>ميثا فيتامين</w:t>
      </w:r>
      <w:r w:rsidRPr="00F6239B">
        <w:rPr>
          <w:rFonts w:asciiTheme="majorBidi" w:hAnsiTheme="majorBidi" w:cstheme="majorBidi"/>
          <w:sz w:val="32"/>
          <w:rtl/>
        </w:rPr>
        <w:t>) في غير الأحوال المصرح بها قانونا، على النحو المبين بالتحقيقات.</w:t>
      </w:r>
    </w:p>
    <w:p w14:paraId="09561FCA" w14:textId="272986CF" w:rsidR="00F6239B" w:rsidRPr="00F6239B" w:rsidRDefault="00F6239B" w:rsidP="00F6239B">
      <w:pPr>
        <w:spacing w:line="360" w:lineRule="auto"/>
        <w:jc w:val="both"/>
        <w:rPr>
          <w:rFonts w:asciiTheme="majorBidi" w:hAnsiTheme="majorBidi" w:cstheme="majorBidi"/>
          <w:sz w:val="32"/>
          <w:rtl/>
        </w:rPr>
      </w:pPr>
      <w:r w:rsidRPr="00F6239B">
        <w:rPr>
          <w:rFonts w:asciiTheme="majorBidi" w:hAnsiTheme="majorBidi" w:cstheme="majorBidi"/>
          <w:sz w:val="32"/>
          <w:rtl/>
        </w:rPr>
        <w:t>3 - تعاطى مؤثرات عقلية (</w:t>
      </w:r>
      <w:r w:rsidR="00260FF6" w:rsidRPr="00F6239B">
        <w:rPr>
          <w:rFonts w:asciiTheme="majorBidi" w:hAnsiTheme="majorBidi" w:cstheme="majorBidi" w:hint="cs"/>
          <w:sz w:val="32"/>
          <w:rtl/>
        </w:rPr>
        <w:t>ميثا فيتامين</w:t>
      </w:r>
      <w:r w:rsidRPr="00F6239B">
        <w:rPr>
          <w:rFonts w:asciiTheme="majorBidi" w:hAnsiTheme="majorBidi" w:cstheme="majorBidi"/>
          <w:sz w:val="32"/>
          <w:rtl/>
        </w:rPr>
        <w:t xml:space="preserve"> </w:t>
      </w:r>
      <w:r>
        <w:rPr>
          <w:rFonts w:asciiTheme="majorBidi" w:hAnsiTheme="majorBidi" w:cstheme="majorBidi" w:hint="cs"/>
          <w:sz w:val="32"/>
          <w:rtl/>
        </w:rPr>
        <w:t>-</w:t>
      </w:r>
      <w:r w:rsidRPr="00F6239B">
        <w:rPr>
          <w:rFonts w:asciiTheme="majorBidi" w:hAnsiTheme="majorBidi" w:cstheme="majorBidi"/>
          <w:sz w:val="32"/>
          <w:rtl/>
        </w:rPr>
        <w:t xml:space="preserve"> </w:t>
      </w:r>
      <w:r w:rsidR="00260FF6" w:rsidRPr="00F6239B">
        <w:rPr>
          <w:rFonts w:asciiTheme="majorBidi" w:hAnsiTheme="majorBidi" w:cstheme="majorBidi" w:hint="cs"/>
          <w:sz w:val="32"/>
          <w:rtl/>
        </w:rPr>
        <w:t>أم فيتامي</w:t>
      </w:r>
      <w:r w:rsidR="00260FF6" w:rsidRPr="00F6239B">
        <w:rPr>
          <w:rFonts w:asciiTheme="majorBidi" w:hAnsiTheme="majorBidi" w:cstheme="majorBidi" w:hint="eastAsia"/>
          <w:sz w:val="32"/>
          <w:rtl/>
        </w:rPr>
        <w:t>ن</w:t>
      </w:r>
      <w:r w:rsidRPr="00F6239B">
        <w:rPr>
          <w:rFonts w:asciiTheme="majorBidi" w:hAnsiTheme="majorBidi" w:cstheme="majorBidi"/>
          <w:sz w:val="32"/>
          <w:rtl/>
        </w:rPr>
        <w:t xml:space="preserve"> </w:t>
      </w:r>
      <w:r w:rsidR="00260FF6">
        <w:rPr>
          <w:rFonts w:asciiTheme="majorBidi" w:hAnsiTheme="majorBidi" w:cstheme="majorBidi"/>
          <w:sz w:val="32"/>
          <w:rtl/>
        </w:rPr>
        <w:t>–</w:t>
      </w:r>
      <w:r w:rsidRPr="00F6239B">
        <w:rPr>
          <w:rFonts w:asciiTheme="majorBidi" w:hAnsiTheme="majorBidi" w:cstheme="majorBidi"/>
          <w:sz w:val="32"/>
          <w:rtl/>
        </w:rPr>
        <w:t xml:space="preserve"> تترا</w:t>
      </w:r>
      <w:r w:rsidR="00260FF6">
        <w:rPr>
          <w:rFonts w:asciiTheme="majorBidi" w:hAnsiTheme="majorBidi" w:cstheme="majorBidi" w:hint="cs"/>
          <w:sz w:val="32"/>
          <w:rtl/>
        </w:rPr>
        <w:t xml:space="preserve"> </w:t>
      </w:r>
      <w:r w:rsidRPr="00F6239B">
        <w:rPr>
          <w:rFonts w:asciiTheme="majorBidi" w:hAnsiTheme="majorBidi" w:cstheme="majorBidi"/>
          <w:sz w:val="32"/>
          <w:rtl/>
        </w:rPr>
        <w:t>هيدرو</w:t>
      </w:r>
      <w:r w:rsidR="00260FF6">
        <w:rPr>
          <w:rFonts w:asciiTheme="majorBidi" w:hAnsiTheme="majorBidi" w:cstheme="majorBidi" w:hint="cs"/>
          <w:sz w:val="32"/>
          <w:rtl/>
        </w:rPr>
        <w:t xml:space="preserve"> </w:t>
      </w:r>
      <w:r w:rsidR="00260FF6" w:rsidRPr="00F6239B">
        <w:rPr>
          <w:rFonts w:asciiTheme="majorBidi" w:hAnsiTheme="majorBidi" w:cstheme="majorBidi" w:hint="cs"/>
          <w:sz w:val="32"/>
          <w:rtl/>
        </w:rPr>
        <w:t>كنابينول</w:t>
      </w:r>
      <w:r w:rsidRPr="00F6239B">
        <w:rPr>
          <w:rFonts w:asciiTheme="majorBidi" w:hAnsiTheme="majorBidi" w:cstheme="majorBidi"/>
          <w:sz w:val="32"/>
          <w:rtl/>
        </w:rPr>
        <w:t>) في غير الأحوال المصرح بها قانونا، على النحو المبين بالتحقيقات.</w:t>
      </w:r>
    </w:p>
    <w:p w14:paraId="480E315E" w14:textId="77777777" w:rsidR="00F6239B" w:rsidRPr="00F6239B" w:rsidRDefault="00F6239B" w:rsidP="00F6239B">
      <w:pPr>
        <w:spacing w:line="360" w:lineRule="auto"/>
        <w:ind w:firstLine="360"/>
        <w:jc w:val="both"/>
        <w:rPr>
          <w:rFonts w:asciiTheme="majorBidi" w:hAnsiTheme="majorBidi" w:cstheme="majorBidi"/>
          <w:sz w:val="32"/>
          <w:rtl/>
        </w:rPr>
      </w:pPr>
      <w:r w:rsidRPr="00F6239B">
        <w:rPr>
          <w:rFonts w:asciiTheme="majorBidi" w:hAnsiTheme="majorBidi" w:cstheme="majorBidi"/>
          <w:sz w:val="32"/>
          <w:rtl/>
        </w:rPr>
        <w:t xml:space="preserve">وطلبت عقابه بالمواد 1، 10/1، 12/1،  24، 41/1 - أ، 57/2، 67، 70، 75، 88 من المرسوم بقانون اتحادي رقم 30 لسنة 2021 في شأن مكافحة المواد المخدرة والمؤثرات العقلية وتعديلاته والمدرج في الجدولين الأول والخامس المرفقين به. </w:t>
      </w:r>
    </w:p>
    <w:p w14:paraId="6388CAB3" w14:textId="77777777" w:rsidR="00F6239B" w:rsidRPr="00F6239B" w:rsidRDefault="00F6239B" w:rsidP="00F6239B">
      <w:pPr>
        <w:spacing w:line="360" w:lineRule="auto"/>
        <w:ind w:firstLine="360"/>
        <w:jc w:val="both"/>
        <w:rPr>
          <w:rFonts w:asciiTheme="majorBidi" w:hAnsiTheme="majorBidi" w:cstheme="majorBidi"/>
          <w:sz w:val="32"/>
          <w:rtl/>
        </w:rPr>
      </w:pPr>
      <w:r w:rsidRPr="00F6239B">
        <w:rPr>
          <w:rFonts w:asciiTheme="majorBidi" w:hAnsiTheme="majorBidi" w:cstheme="majorBidi"/>
          <w:sz w:val="32"/>
          <w:rtl/>
        </w:rPr>
        <w:t xml:space="preserve">ومحكمة أول درجة حكمت حضوريا بتاريخ 29/8/2024 بمعاقبة الطاعن بالسجن المؤبد عن التهمتين الأولى والثانية المعدلتين المسندة إليه للارتباط، والحبس ثلاثة أشهر عن التهمة الثالثة المسندة إليه، وإبعاده عن الدولة بعد تنفيذ العقوبة، وبمصادرة المادة المخدرة والمؤثر العقلي والهاتف المضبوط، وإلزامه بالرسوم الجزائية المقررة. </w:t>
      </w:r>
    </w:p>
    <w:p w14:paraId="11D50FEB" w14:textId="77777777" w:rsidR="00F6239B" w:rsidRDefault="00F6239B" w:rsidP="00F6239B">
      <w:pPr>
        <w:spacing w:line="360" w:lineRule="auto"/>
        <w:ind w:firstLine="360"/>
        <w:jc w:val="both"/>
        <w:rPr>
          <w:rFonts w:asciiTheme="majorBidi" w:hAnsiTheme="majorBidi" w:cstheme="majorBidi"/>
          <w:sz w:val="32"/>
          <w:rtl/>
        </w:rPr>
      </w:pPr>
      <w:r w:rsidRPr="00F6239B">
        <w:rPr>
          <w:rFonts w:asciiTheme="majorBidi" w:hAnsiTheme="majorBidi" w:cstheme="majorBidi"/>
          <w:sz w:val="32"/>
          <w:rtl/>
        </w:rPr>
        <w:t xml:space="preserve">وأمرت بتقدير مبلغ أربعة آلاف درهم لمن تم ندبه من المحامين، مع رد ما تحمله من مصروفات إدارية، تصرف له من خزينة وزارة العدل. </w:t>
      </w:r>
    </w:p>
    <w:p w14:paraId="60A0AB88" w14:textId="77777777" w:rsidR="00AB5B80" w:rsidRDefault="00AB5B80" w:rsidP="00F6239B">
      <w:pPr>
        <w:spacing w:line="360" w:lineRule="auto"/>
        <w:ind w:firstLine="360"/>
        <w:jc w:val="both"/>
        <w:rPr>
          <w:rFonts w:asciiTheme="majorBidi" w:hAnsiTheme="majorBidi" w:cstheme="majorBidi"/>
          <w:sz w:val="32"/>
          <w:rtl/>
        </w:rPr>
      </w:pPr>
    </w:p>
    <w:p w14:paraId="784CBDAA" w14:textId="77777777" w:rsidR="00AB5B80" w:rsidRPr="00F6239B" w:rsidRDefault="00AB5B80" w:rsidP="00F6239B">
      <w:pPr>
        <w:spacing w:line="360" w:lineRule="auto"/>
        <w:ind w:firstLine="360"/>
        <w:jc w:val="both"/>
        <w:rPr>
          <w:rFonts w:asciiTheme="majorBidi" w:hAnsiTheme="majorBidi" w:cstheme="majorBidi"/>
          <w:sz w:val="32"/>
          <w:rtl/>
        </w:rPr>
      </w:pPr>
    </w:p>
    <w:p w14:paraId="35D06A83" w14:textId="5638FD2F" w:rsidR="00F6239B" w:rsidRPr="00F6239B" w:rsidRDefault="00F6239B" w:rsidP="00F6239B">
      <w:pPr>
        <w:widowControl w:val="0"/>
        <w:spacing w:line="360" w:lineRule="auto"/>
        <w:ind w:firstLine="360"/>
        <w:jc w:val="both"/>
        <w:rPr>
          <w:rFonts w:asciiTheme="majorBidi" w:hAnsiTheme="majorBidi" w:cstheme="majorBidi"/>
          <w:sz w:val="32"/>
          <w:rtl/>
        </w:rPr>
      </w:pPr>
      <w:r w:rsidRPr="00F6239B">
        <w:rPr>
          <w:rFonts w:asciiTheme="majorBidi" w:hAnsiTheme="majorBidi" w:cstheme="majorBidi"/>
          <w:sz w:val="32"/>
          <w:rtl/>
        </w:rPr>
        <w:lastRenderedPageBreak/>
        <w:t xml:space="preserve">استأنف الطاعن، وقيد استئنافه برقم 1094 لسنة 2024، وبجلسة 28/10/2024 قضت محكمة استئناف </w:t>
      </w:r>
      <w:r w:rsidR="00AB5B80">
        <w:rPr>
          <w:rFonts w:asciiTheme="majorBidi" w:hAnsiTheme="majorBidi" w:cstheme="majorBidi" w:hint="cs"/>
          <w:sz w:val="32"/>
          <w:rtl/>
        </w:rPr>
        <w:t>..</w:t>
      </w:r>
      <w:r w:rsidRPr="00F6239B">
        <w:rPr>
          <w:rFonts w:asciiTheme="majorBidi" w:hAnsiTheme="majorBidi" w:cstheme="majorBidi"/>
          <w:sz w:val="32"/>
          <w:rtl/>
        </w:rPr>
        <w:t xml:space="preserve"> الاتحادية حضوريا بقبول الاستئناف شكلا وفي الموضوع برفضه وتأييد الحكم المستأنف وألزمت الطاعن بالرسوم المقررة، وأمرت بتقدير مبلغ خمسة آلاف درهم أتعاباً للمحامية المنتدبة تصرف لها من خزينة وزارة العدل.  </w:t>
      </w:r>
    </w:p>
    <w:p w14:paraId="1792E9A7" w14:textId="77777777" w:rsidR="00F6239B" w:rsidRPr="00F6239B" w:rsidRDefault="00F6239B" w:rsidP="00F6239B">
      <w:pPr>
        <w:spacing w:line="360" w:lineRule="auto"/>
        <w:ind w:firstLine="360"/>
        <w:jc w:val="both"/>
        <w:rPr>
          <w:rFonts w:asciiTheme="majorBidi" w:hAnsiTheme="majorBidi" w:cstheme="majorBidi"/>
          <w:sz w:val="32"/>
          <w:rtl/>
        </w:rPr>
      </w:pPr>
      <w:r w:rsidRPr="00F6239B">
        <w:rPr>
          <w:rFonts w:asciiTheme="majorBidi" w:hAnsiTheme="majorBidi" w:cstheme="majorBidi"/>
          <w:sz w:val="32"/>
          <w:rtl/>
        </w:rPr>
        <w:t xml:space="preserve">أقام الطاعن طعنه المطروح، والنيابة العامة قدمت مذكرة برأيها طلبت فيها رفض الطعن. </w:t>
      </w:r>
    </w:p>
    <w:p w14:paraId="7A1A58C6" w14:textId="77777777" w:rsidR="00F6239B" w:rsidRPr="00F6239B" w:rsidRDefault="00F6239B" w:rsidP="00F6239B">
      <w:pPr>
        <w:spacing w:line="360" w:lineRule="auto"/>
        <w:ind w:firstLine="360"/>
        <w:jc w:val="both"/>
        <w:rPr>
          <w:rFonts w:asciiTheme="majorBidi" w:hAnsiTheme="majorBidi" w:cstheme="majorBidi"/>
          <w:sz w:val="32"/>
          <w:rtl/>
        </w:rPr>
      </w:pPr>
      <w:bookmarkStart w:id="1" w:name="_Hlk232240315"/>
      <w:r w:rsidRPr="00F6239B">
        <w:rPr>
          <w:rFonts w:asciiTheme="majorBidi" w:hAnsiTheme="majorBidi" w:cstheme="majorBidi"/>
          <w:sz w:val="32"/>
          <w:rtl/>
        </w:rPr>
        <w:t>وحيث إن الطاعن ينعى على الحكم المطعون فيه أنه إذ أدانه بجرائم حيازة مخدر ومؤثر عقلي بقصد الترويج، وتعاطي مؤثرات عقلية في غير الأحوال المصرح بها قانونا قد شابه القصور في التسبيب والفساد في الاستدلال والإخلال بحق الدفاع وران عليه البطلان ذلك أن منطوقه أخطأ في ذكر رقم الاستئناف المقام من الطاعن، وخلا الحكم من التدليل على انتمائه لعصابة منظمة وعمله لمصلحتها، وأورد المادة 88 من المرسوم بقانون اتحادي رقم 30 لسنة 2021 في شأن مكافحة المواد المخدرة والمؤثرات العقلية ضمن المواد التي حكم بموجبها سندا لاختصاصه رغم أنها مضافة إلى المرسوم بقانون المشار إليه بعد تاريخ ارتكاب الواقعة، ورد بما لا يسوغ على ما اعتصم به الطاعن من بطلان إذن التفتيش لابتنائه على تحريات غير جدية، ولم يستظهر قصد ترويج المواد المخدرة والمؤثرات العقلية في حقه، وعول في إدانته على أدلة مبتورة ودلائل افتراضية، مما يعيب الحكم المطعون فيه ويستوجب نقضه.</w:t>
      </w:r>
    </w:p>
    <w:p w14:paraId="5FCC8B1B" w14:textId="77777777" w:rsidR="00F6239B" w:rsidRPr="00F6239B" w:rsidRDefault="00F6239B" w:rsidP="00F6239B">
      <w:pPr>
        <w:spacing w:line="360" w:lineRule="auto"/>
        <w:ind w:firstLine="360"/>
        <w:jc w:val="both"/>
        <w:rPr>
          <w:rFonts w:asciiTheme="majorBidi" w:hAnsiTheme="majorBidi" w:cstheme="majorBidi"/>
          <w:sz w:val="32"/>
          <w:rtl/>
        </w:rPr>
      </w:pPr>
      <w:r w:rsidRPr="00F6239B">
        <w:rPr>
          <w:rFonts w:asciiTheme="majorBidi" w:hAnsiTheme="majorBidi" w:cstheme="majorBidi"/>
          <w:sz w:val="32"/>
          <w:rtl/>
        </w:rPr>
        <w:t xml:space="preserve">وحيث إن أوجه الطعن برمتها غير سديدة؛ ذلك أن الحكم المطعون فيه بيَّن واقعة الدعوى بما تتوافر به كافة العناصر القانونية لجرائم حيازة مخدر ومؤثر عقلي بقصد الترويج في أكثر من إمارة من إمارات الدولة، وتعاطي مؤثرات عقلية في غير الأحوال المصرح بها قانونا التي أدان الطاعن بها وأورد على ثبوتها في حقه أدلة سائغة ومن شأنها أن تؤدي إلى ما رتبه الحكم عليها. لما كان ذلك، وكان منطوق الحكم المطعون فيه قد تضمن الرقم الصحيح والمطابق لرقم الاستئناف المقام من الطاعن حسبما يبين من مفردات الدعوى على النظام الجزائي، ومن ثم فإن ما ينعاه الطاعن في هذا الخصوص يكون وارداً على غير محل من قضاء الحكم المطعون فيه. </w:t>
      </w:r>
    </w:p>
    <w:p w14:paraId="4501694B" w14:textId="77777777" w:rsidR="00F6239B" w:rsidRPr="00F6239B" w:rsidRDefault="00F6239B" w:rsidP="00F6239B">
      <w:pPr>
        <w:spacing w:line="360" w:lineRule="auto"/>
        <w:ind w:firstLine="360"/>
        <w:jc w:val="both"/>
        <w:rPr>
          <w:rFonts w:asciiTheme="majorBidi" w:hAnsiTheme="majorBidi" w:cstheme="majorBidi"/>
          <w:sz w:val="32"/>
          <w:rtl/>
        </w:rPr>
      </w:pPr>
      <w:r w:rsidRPr="00F6239B">
        <w:rPr>
          <w:rFonts w:asciiTheme="majorBidi" w:hAnsiTheme="majorBidi" w:cstheme="majorBidi"/>
          <w:sz w:val="32"/>
          <w:rtl/>
        </w:rPr>
        <w:lastRenderedPageBreak/>
        <w:t xml:space="preserve">وحيث إن الحكم المطعون فيه لم يكن بحاجة إلى التدليل على انتماء الطاعن لعصابة منظمة وعمله لمصلحتها طالما أن الحكم الابتدائي المؤيد لأسبابه بالحكم المطعون فيه قد استبعد ذلك الوصف من التهمتين الأولى والثانية بعد أن قامت المحكمة بتعديلهما إلى حيازة مخدر ومؤثر عقلي بقصد الترويج - في أكثر من إمارة من إمارات الدولة (أبوظبي، الشارقة). </w:t>
      </w:r>
    </w:p>
    <w:p w14:paraId="62313DF5" w14:textId="77777777" w:rsidR="00F6239B" w:rsidRPr="00F6239B" w:rsidRDefault="00F6239B" w:rsidP="00F6239B">
      <w:pPr>
        <w:spacing w:line="360" w:lineRule="auto"/>
        <w:ind w:firstLine="360"/>
        <w:jc w:val="both"/>
        <w:rPr>
          <w:rFonts w:asciiTheme="majorBidi" w:hAnsiTheme="majorBidi" w:cstheme="majorBidi"/>
          <w:sz w:val="32"/>
          <w:rtl/>
        </w:rPr>
      </w:pPr>
      <w:r w:rsidRPr="00F6239B">
        <w:rPr>
          <w:rFonts w:asciiTheme="majorBidi" w:hAnsiTheme="majorBidi" w:cstheme="majorBidi"/>
          <w:sz w:val="32"/>
          <w:rtl/>
        </w:rPr>
        <w:t xml:space="preserve">وحيث إن القوانين الإجرائية تسري بأثر فوري على كل ما لم يكن فصل فيه من الدعاوى أو ما لم يكن تم من الإجراءات قبل تاريخ العمل به، وكانت المحكمة المطعون في حكمها قد نظرت محاكمة الطاعن الذي أدين بجرائم من بينها جريمتا حيازة مخدر ومؤثر عقلي بقصد الترويج - في أكثر من إمارة من إمارات الدولة، ومن ثم تكون مختصة من كل الوجوه بنظر الدعوى الجزائية بالنسبة له قبل وبعد تعديل المادة 88 من المرسوم بقانون اتحادي رقم 30 لسنة 2021 في شأن مكافحة المواد المخدرة والمؤثرات العقلية. ويضحي ما يثيره الطاعن في شأن تاريخ ارتكاب الجريمة وإعمال تلك المادة من المرسوم بقانون سالف الذكر في حقه غير قادح في ذلك الاختصاص. </w:t>
      </w:r>
    </w:p>
    <w:p w14:paraId="1622C66F" w14:textId="4C05CD18" w:rsidR="00F6239B" w:rsidRPr="00F6239B" w:rsidRDefault="00F6239B" w:rsidP="00F6239B">
      <w:pPr>
        <w:spacing w:line="360" w:lineRule="auto"/>
        <w:ind w:firstLine="360"/>
        <w:jc w:val="both"/>
        <w:rPr>
          <w:rFonts w:asciiTheme="majorBidi" w:hAnsiTheme="majorBidi" w:cstheme="majorBidi"/>
          <w:sz w:val="32"/>
          <w:rtl/>
        </w:rPr>
      </w:pPr>
      <w:r w:rsidRPr="00F6239B">
        <w:rPr>
          <w:rFonts w:asciiTheme="majorBidi" w:hAnsiTheme="majorBidi" w:cstheme="majorBidi"/>
          <w:sz w:val="32"/>
          <w:rtl/>
        </w:rPr>
        <w:t>وحيث إنه من المقرر أن تقدير جدية التحريات وكفايتها لإصدار إذن التفتيش هو من المسائل الموضوعية التي يوكل الأمر فيها إلى سلطة التحقيق تحت إشراف محكمة الموضوع ومتى اقتنعت المحكمة بجدية الاستدلالات التي بنى عليها إذن التفتيش وكفايتها لتسويغ إصداره -</w:t>
      </w:r>
      <w:r w:rsidR="00541C55">
        <w:rPr>
          <w:rFonts w:asciiTheme="majorBidi" w:hAnsiTheme="majorBidi" w:cstheme="majorBidi" w:hint="cs"/>
          <w:sz w:val="32"/>
          <w:rtl/>
        </w:rPr>
        <w:t xml:space="preserve"> </w:t>
      </w:r>
      <w:r w:rsidRPr="00F6239B">
        <w:rPr>
          <w:rFonts w:asciiTheme="majorBidi" w:hAnsiTheme="majorBidi" w:cstheme="majorBidi"/>
          <w:sz w:val="32"/>
          <w:rtl/>
        </w:rPr>
        <w:t>كما هو الشأن في الدعوى المطروحة</w:t>
      </w:r>
      <w:r w:rsidR="00541C55">
        <w:rPr>
          <w:rFonts w:asciiTheme="majorBidi" w:hAnsiTheme="majorBidi" w:cstheme="majorBidi" w:hint="cs"/>
          <w:sz w:val="32"/>
          <w:rtl/>
        </w:rPr>
        <w:t xml:space="preserve"> </w:t>
      </w:r>
      <w:r w:rsidRPr="00F6239B">
        <w:rPr>
          <w:rFonts w:asciiTheme="majorBidi" w:hAnsiTheme="majorBidi" w:cstheme="majorBidi"/>
          <w:sz w:val="32"/>
          <w:rtl/>
        </w:rPr>
        <w:t>- وأقرت النيابة على تصرفها في هذا الشأن فإنه لا معقب عليها في ما ارتأته لتعلقه بالموضوع لا بالقانون. ولما كانت المحكمة الابتدائية المؤيد حكمها لأسبابه بالحكم المطعون فيه قد سوغت الأمر بالتفتيش وردت على الدفع ببطلانه لعدم جدية التحريات رداً سائغاً وكافياً، فإن النعي على الحكم في هذا الشأن لا يكون له محل.</w:t>
      </w:r>
    </w:p>
    <w:p w14:paraId="4F234F6A" w14:textId="4CA3E1FC" w:rsidR="00F6239B" w:rsidRPr="00F6239B" w:rsidRDefault="00F6239B" w:rsidP="00F6239B">
      <w:pPr>
        <w:spacing w:line="360" w:lineRule="auto"/>
        <w:ind w:firstLine="360"/>
        <w:jc w:val="both"/>
        <w:rPr>
          <w:rFonts w:asciiTheme="majorBidi" w:hAnsiTheme="majorBidi" w:cstheme="majorBidi"/>
          <w:sz w:val="32"/>
          <w:rtl/>
        </w:rPr>
      </w:pPr>
      <w:r w:rsidRPr="00F6239B">
        <w:rPr>
          <w:rFonts w:asciiTheme="majorBidi" w:hAnsiTheme="majorBidi" w:cstheme="majorBidi"/>
          <w:sz w:val="32"/>
          <w:rtl/>
        </w:rPr>
        <w:t>وحيث إنه من المقرر -</w:t>
      </w:r>
      <w:r w:rsidR="00541C55">
        <w:rPr>
          <w:rFonts w:asciiTheme="majorBidi" w:hAnsiTheme="majorBidi" w:cstheme="majorBidi" w:hint="cs"/>
          <w:sz w:val="32"/>
          <w:rtl/>
        </w:rPr>
        <w:t xml:space="preserve"> </w:t>
      </w:r>
      <w:r w:rsidRPr="00F6239B">
        <w:rPr>
          <w:rFonts w:asciiTheme="majorBidi" w:hAnsiTheme="majorBidi" w:cstheme="majorBidi"/>
          <w:sz w:val="32"/>
          <w:rtl/>
        </w:rPr>
        <w:t>في قضاء هذه المحكمة</w:t>
      </w:r>
      <w:r w:rsidR="00541C55">
        <w:rPr>
          <w:rFonts w:asciiTheme="majorBidi" w:hAnsiTheme="majorBidi" w:cstheme="majorBidi" w:hint="cs"/>
          <w:sz w:val="32"/>
          <w:rtl/>
        </w:rPr>
        <w:t xml:space="preserve"> </w:t>
      </w:r>
      <w:r w:rsidRPr="00F6239B">
        <w:rPr>
          <w:rFonts w:asciiTheme="majorBidi" w:hAnsiTheme="majorBidi" w:cstheme="majorBidi"/>
          <w:sz w:val="32"/>
          <w:rtl/>
        </w:rPr>
        <w:t xml:space="preserve">- أن مناط المسؤولية في حالتي حيازة المواد المخدرة والمؤثرات العقلية هو ثبوت اتصال الجاني بالمخدر أو المؤثر العقلي اتصالا مباشرا أو بالواسطة وبسط سلطانه عليه بأية صورة عن علم وإرادة إما بحيازة المخدر أو المؤثر العقلي حيازة مادية أو بوضع يده عليه على سبيل الملك والاختصاص ولو لم تتحقق الحيازة المادية، وكان توافر قصد الاتجار أو الترويج هو من الأمور الموضوعية التي تستقل </w:t>
      </w:r>
      <w:r w:rsidRPr="00F6239B">
        <w:rPr>
          <w:rFonts w:asciiTheme="majorBidi" w:hAnsiTheme="majorBidi" w:cstheme="majorBidi"/>
          <w:sz w:val="32"/>
          <w:rtl/>
        </w:rPr>
        <w:lastRenderedPageBreak/>
        <w:t>محكمة الموضوع بتقديرها بغير معقب ما دام تقديرها سائغا. لما كان ذلك، وكان الحكم قد دلل على حيازة الطاعن للمخدر والمؤثر العقلي المضبوطين وبسط سلطانه عليهما عن علم وإرادة، كما أقام الحجة على أن حيازته لهما كانت بقصد الترويج، وذلك من تحصيله للواقعة وسرده لمؤدى أدلة الثبوت ورده على دفوع الطاعن، ولما كان استخلاص هذا القصد قد جاء سائغا في إظهار اقتناع المحكمة بثبوته، بما يضحي معه النعي مجرد جدل موضوعي في ما لمحكمة الموضوع سلطة فهمه وتقدير أدلته مما لا تجوز إثارته أمام هذه المحكمة.</w:t>
      </w:r>
    </w:p>
    <w:p w14:paraId="18AA6D1A" w14:textId="77777777" w:rsidR="00F6239B" w:rsidRPr="00F6239B" w:rsidRDefault="00F6239B" w:rsidP="00F6239B">
      <w:pPr>
        <w:spacing w:line="360" w:lineRule="auto"/>
        <w:ind w:firstLine="360"/>
        <w:jc w:val="both"/>
        <w:rPr>
          <w:rFonts w:asciiTheme="majorBidi" w:hAnsiTheme="majorBidi" w:cstheme="majorBidi"/>
          <w:sz w:val="32"/>
          <w:rtl/>
        </w:rPr>
      </w:pPr>
      <w:r w:rsidRPr="00F6239B">
        <w:rPr>
          <w:rFonts w:asciiTheme="majorBidi" w:hAnsiTheme="majorBidi" w:cstheme="majorBidi"/>
          <w:sz w:val="32"/>
          <w:rtl/>
        </w:rPr>
        <w:t>وحيث إن المشرع في المسائل الجزائية أمد القاضي بسلطة واسعة وحرية كاملة في سبيل تقصي ثبوت الجرائم أو عدم ثبوتها والوقوف على حقيقة علاقة المتهم ومدى اتصاله بها ففتح له باب الإثبات على مصراعيه يختار من طرقه ما يراه موصلاً إلى الكشف عن الحقيقة ويزن قوة الإثبات المستمدة من كل عنصر بمحض وجدانه فيأخذ بما تطمئن إليه عقيدته ويطرح ما لا ترتاح إليه غير ملزم بأن يسترشد في قضائه بقرائن معينة بل له مطلق الحرية في تقدير ما يعرض عليه منها ووزن قوته التدليلية في كل حالة حسبما يستفاد من وقائع الدعوى وظروفها بغية الحقيقة التي ينشدها من أي سبيل يجده مؤدياً إليها ولا رقيب عليه في ذلك غير ضميره وحده. هذا هو الأصل الذي أقام عليه القانون الجزائي قواعد الإثبات لتكون موائمة لما تستلزمه طبيعة الأفعال الجنائية وتقتضيه مصلحة الجماعة من وجوب معاقبة كل جان وتبرئة كل بريء، فإن ما ينعاه الطاعن من تعويل الحكم على أدلة مبتورة ودلائل افتراضية ينحل إلى جدل موضوعي في حق محكمة الموضوع في تقدير أدلة الدعوى وتكوين معتقدها، وهو ما لا يجوز إثارته أمام المحكمة العليا. لما كان ما تقدم، فإن الطعن برمته يكون على غير أساس متعينا رفضه موضوعاً.</w:t>
      </w:r>
    </w:p>
    <w:bookmarkEnd w:id="0"/>
    <w:bookmarkEnd w:id="1"/>
    <w:p w14:paraId="266F86D7" w14:textId="77777777" w:rsidR="0050476F" w:rsidRDefault="00DD0EF7" w:rsidP="00DD0EF7">
      <w:pPr>
        <w:tabs>
          <w:tab w:val="left" w:pos="1677"/>
        </w:tabs>
        <w:spacing w:line="264" w:lineRule="auto"/>
        <w:jc w:val="both"/>
        <w:rPr>
          <w:sz w:val="30"/>
          <w:szCs w:val="30"/>
          <w:rtl/>
        </w:rPr>
      </w:pPr>
      <w:r>
        <w:rPr>
          <w:sz w:val="30"/>
          <w:szCs w:val="30"/>
          <w:rtl/>
        </w:rPr>
        <w:tab/>
      </w:r>
    </w:p>
    <w:p w14:paraId="5EECFCB0" w14:textId="77777777" w:rsidR="0050476F" w:rsidRDefault="0050476F" w:rsidP="0050476F">
      <w:pPr>
        <w:jc w:val="center"/>
        <w:rPr>
          <w:sz w:val="30"/>
          <w:szCs w:val="30"/>
          <w:rtl/>
        </w:rPr>
      </w:pPr>
    </w:p>
    <w:p w14:paraId="44A6D4E9" w14:textId="77777777" w:rsidR="0050476F" w:rsidRPr="00272013" w:rsidRDefault="0050476F" w:rsidP="0050476F">
      <w:pPr>
        <w:rPr>
          <w:sz w:val="30"/>
          <w:szCs w:val="30"/>
          <w:rtl/>
        </w:rPr>
      </w:pPr>
    </w:p>
    <w:sectPr w:rsidR="0050476F" w:rsidRPr="00272013" w:rsidSect="00F6239B">
      <w:headerReference w:type="default" r:id="rId10"/>
      <w:footerReference w:type="default" r:id="rId11"/>
      <w:footerReference w:type="first" r:id="rId12"/>
      <w:pgSz w:w="11907" w:h="16840" w:code="9"/>
      <w:pgMar w:top="261" w:right="1557" w:bottom="900" w:left="1530" w:header="720" w:footer="27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E4537" w14:textId="77777777" w:rsidR="00952512" w:rsidRDefault="00952512" w:rsidP="008A5E2F">
      <w:r>
        <w:separator/>
      </w:r>
    </w:p>
  </w:endnote>
  <w:endnote w:type="continuationSeparator" w:id="0">
    <w:p w14:paraId="4881670F" w14:textId="77777777" w:rsidR="00952512" w:rsidRDefault="00952512"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coType Naskh Swashes">
    <w:panose1 w:val="02010400000000000000"/>
    <w:charset w:val="B2"/>
    <w:family w:val="auto"/>
    <w:pitch w:val="variable"/>
    <w:sig w:usb0="00002001" w:usb1="80000000" w:usb2="00000008" w:usb3="00000000" w:csb0="00000040"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1AE49"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31D06" w14:textId="272A6FA0" w:rsidR="00CB437E" w:rsidRPr="00AB5B80" w:rsidRDefault="00AB5B80">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462C2" w14:textId="77777777" w:rsidR="00952512" w:rsidRDefault="00952512" w:rsidP="008A5E2F">
      <w:r>
        <w:separator/>
      </w:r>
    </w:p>
  </w:footnote>
  <w:footnote w:type="continuationSeparator" w:id="0">
    <w:p w14:paraId="4EF361CE" w14:textId="77777777" w:rsidR="00952512" w:rsidRDefault="00952512"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A1767" w14:textId="1EECAD26" w:rsidR="00297D55" w:rsidRPr="00F6239B" w:rsidRDefault="00F6239B" w:rsidP="00F6239B">
    <w:pPr>
      <w:pStyle w:val="Header"/>
      <w:spacing w:line="360" w:lineRule="auto"/>
      <w:jc w:val="right"/>
      <w:rPr>
        <w:rFonts w:asciiTheme="majorBidi" w:hAnsiTheme="majorBidi" w:cstheme="majorBidi"/>
        <w:sz w:val="32"/>
        <w:rtl/>
      </w:rPr>
    </w:pPr>
    <w:r>
      <w:rPr>
        <w:rFonts w:asciiTheme="majorBidi" w:hAnsiTheme="majorBidi" w:cstheme="majorBidi" w:hint="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201038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0B37"/>
    <w:rsid w:val="00001227"/>
    <w:rsid w:val="00002393"/>
    <w:rsid w:val="00010ACD"/>
    <w:rsid w:val="000123D9"/>
    <w:rsid w:val="00014AC4"/>
    <w:rsid w:val="000171B0"/>
    <w:rsid w:val="00017C80"/>
    <w:rsid w:val="0002148D"/>
    <w:rsid w:val="00022C59"/>
    <w:rsid w:val="00024322"/>
    <w:rsid w:val="00025747"/>
    <w:rsid w:val="00030769"/>
    <w:rsid w:val="00036005"/>
    <w:rsid w:val="00042A8F"/>
    <w:rsid w:val="000441D6"/>
    <w:rsid w:val="00045720"/>
    <w:rsid w:val="00047116"/>
    <w:rsid w:val="00047FCB"/>
    <w:rsid w:val="0005262A"/>
    <w:rsid w:val="00055F47"/>
    <w:rsid w:val="0006283D"/>
    <w:rsid w:val="00063365"/>
    <w:rsid w:val="000656FE"/>
    <w:rsid w:val="00066EA4"/>
    <w:rsid w:val="000676D5"/>
    <w:rsid w:val="00071228"/>
    <w:rsid w:val="00075F93"/>
    <w:rsid w:val="00082C66"/>
    <w:rsid w:val="00084532"/>
    <w:rsid w:val="00086A11"/>
    <w:rsid w:val="00090252"/>
    <w:rsid w:val="00090EE6"/>
    <w:rsid w:val="0009386C"/>
    <w:rsid w:val="000A0F9D"/>
    <w:rsid w:val="000A310E"/>
    <w:rsid w:val="000A3945"/>
    <w:rsid w:val="000B09FC"/>
    <w:rsid w:val="000B0D20"/>
    <w:rsid w:val="000B16A7"/>
    <w:rsid w:val="000B35BF"/>
    <w:rsid w:val="000B389D"/>
    <w:rsid w:val="000B4849"/>
    <w:rsid w:val="000B49A4"/>
    <w:rsid w:val="000C2599"/>
    <w:rsid w:val="000C62D9"/>
    <w:rsid w:val="000C774C"/>
    <w:rsid w:val="000D502C"/>
    <w:rsid w:val="000D7303"/>
    <w:rsid w:val="000E12DC"/>
    <w:rsid w:val="000E319D"/>
    <w:rsid w:val="000F0D64"/>
    <w:rsid w:val="000F340E"/>
    <w:rsid w:val="000F6B9A"/>
    <w:rsid w:val="001021ED"/>
    <w:rsid w:val="00102EA8"/>
    <w:rsid w:val="00102FF5"/>
    <w:rsid w:val="001057A2"/>
    <w:rsid w:val="001060D6"/>
    <w:rsid w:val="00107A01"/>
    <w:rsid w:val="00110210"/>
    <w:rsid w:val="00111822"/>
    <w:rsid w:val="0011601D"/>
    <w:rsid w:val="001174A0"/>
    <w:rsid w:val="00117831"/>
    <w:rsid w:val="00123B4E"/>
    <w:rsid w:val="001315DD"/>
    <w:rsid w:val="001349AF"/>
    <w:rsid w:val="00141C7C"/>
    <w:rsid w:val="0014588C"/>
    <w:rsid w:val="00147B71"/>
    <w:rsid w:val="00152D24"/>
    <w:rsid w:val="001555C5"/>
    <w:rsid w:val="001558DC"/>
    <w:rsid w:val="001566C0"/>
    <w:rsid w:val="001611A3"/>
    <w:rsid w:val="001614BC"/>
    <w:rsid w:val="00165CAB"/>
    <w:rsid w:val="00166AB9"/>
    <w:rsid w:val="00176C21"/>
    <w:rsid w:val="0018068F"/>
    <w:rsid w:val="0018309C"/>
    <w:rsid w:val="00184167"/>
    <w:rsid w:val="00185ED1"/>
    <w:rsid w:val="001864DD"/>
    <w:rsid w:val="00186640"/>
    <w:rsid w:val="001866CB"/>
    <w:rsid w:val="00193139"/>
    <w:rsid w:val="001A24E5"/>
    <w:rsid w:val="001B3501"/>
    <w:rsid w:val="001C71DF"/>
    <w:rsid w:val="001D1B81"/>
    <w:rsid w:val="001D4FAB"/>
    <w:rsid w:val="001D5FBD"/>
    <w:rsid w:val="001E03F6"/>
    <w:rsid w:val="001E43FC"/>
    <w:rsid w:val="001F69A5"/>
    <w:rsid w:val="00200698"/>
    <w:rsid w:val="0020384F"/>
    <w:rsid w:val="00211BCF"/>
    <w:rsid w:val="00212A44"/>
    <w:rsid w:val="00212EE4"/>
    <w:rsid w:val="0021406C"/>
    <w:rsid w:val="0022286F"/>
    <w:rsid w:val="002234F3"/>
    <w:rsid w:val="00235B60"/>
    <w:rsid w:val="0024314A"/>
    <w:rsid w:val="002432C3"/>
    <w:rsid w:val="00244520"/>
    <w:rsid w:val="00246F9C"/>
    <w:rsid w:val="00251977"/>
    <w:rsid w:val="00251D44"/>
    <w:rsid w:val="00257CD9"/>
    <w:rsid w:val="00260FF6"/>
    <w:rsid w:val="00272013"/>
    <w:rsid w:val="002748F9"/>
    <w:rsid w:val="00275596"/>
    <w:rsid w:val="00281145"/>
    <w:rsid w:val="002811A2"/>
    <w:rsid w:val="00281CBF"/>
    <w:rsid w:val="00284662"/>
    <w:rsid w:val="0028494D"/>
    <w:rsid w:val="002866A2"/>
    <w:rsid w:val="002938C6"/>
    <w:rsid w:val="00297D55"/>
    <w:rsid w:val="00297D7A"/>
    <w:rsid w:val="002A2369"/>
    <w:rsid w:val="002A47BB"/>
    <w:rsid w:val="002B295D"/>
    <w:rsid w:val="002B46CB"/>
    <w:rsid w:val="002B5DE0"/>
    <w:rsid w:val="002C05EE"/>
    <w:rsid w:val="002C3F3D"/>
    <w:rsid w:val="002C572C"/>
    <w:rsid w:val="002C57AB"/>
    <w:rsid w:val="002C7456"/>
    <w:rsid w:val="002D5B32"/>
    <w:rsid w:val="002E04AD"/>
    <w:rsid w:val="002E0A0A"/>
    <w:rsid w:val="002E0E47"/>
    <w:rsid w:val="002E26A5"/>
    <w:rsid w:val="002E35B2"/>
    <w:rsid w:val="002E384A"/>
    <w:rsid w:val="002E6DD7"/>
    <w:rsid w:val="002F26AF"/>
    <w:rsid w:val="002F2F1E"/>
    <w:rsid w:val="002F5349"/>
    <w:rsid w:val="002F6F8D"/>
    <w:rsid w:val="00302709"/>
    <w:rsid w:val="00302DE0"/>
    <w:rsid w:val="0030366A"/>
    <w:rsid w:val="00304023"/>
    <w:rsid w:val="00304775"/>
    <w:rsid w:val="00312A01"/>
    <w:rsid w:val="00316281"/>
    <w:rsid w:val="00317F26"/>
    <w:rsid w:val="00320D84"/>
    <w:rsid w:val="0032157C"/>
    <w:rsid w:val="00322D04"/>
    <w:rsid w:val="00323182"/>
    <w:rsid w:val="00323469"/>
    <w:rsid w:val="00323C77"/>
    <w:rsid w:val="00325734"/>
    <w:rsid w:val="003263C7"/>
    <w:rsid w:val="003306B3"/>
    <w:rsid w:val="00332056"/>
    <w:rsid w:val="00332D76"/>
    <w:rsid w:val="0033344A"/>
    <w:rsid w:val="0033356F"/>
    <w:rsid w:val="0033487E"/>
    <w:rsid w:val="00337F68"/>
    <w:rsid w:val="003475C3"/>
    <w:rsid w:val="00350D09"/>
    <w:rsid w:val="00351182"/>
    <w:rsid w:val="00352A74"/>
    <w:rsid w:val="0035356F"/>
    <w:rsid w:val="00353F35"/>
    <w:rsid w:val="00360285"/>
    <w:rsid w:val="00362AE7"/>
    <w:rsid w:val="00362B18"/>
    <w:rsid w:val="003658B8"/>
    <w:rsid w:val="0037170E"/>
    <w:rsid w:val="00372752"/>
    <w:rsid w:val="00373658"/>
    <w:rsid w:val="00375254"/>
    <w:rsid w:val="00375F4A"/>
    <w:rsid w:val="003837C9"/>
    <w:rsid w:val="00384C69"/>
    <w:rsid w:val="003878D8"/>
    <w:rsid w:val="00390AD5"/>
    <w:rsid w:val="00394B25"/>
    <w:rsid w:val="00395839"/>
    <w:rsid w:val="00396185"/>
    <w:rsid w:val="003975E4"/>
    <w:rsid w:val="003A09A4"/>
    <w:rsid w:val="003A1586"/>
    <w:rsid w:val="003A3879"/>
    <w:rsid w:val="003A3DF2"/>
    <w:rsid w:val="003A75C1"/>
    <w:rsid w:val="003A78CB"/>
    <w:rsid w:val="003B0B48"/>
    <w:rsid w:val="003B0D3B"/>
    <w:rsid w:val="003B283B"/>
    <w:rsid w:val="003B2E7D"/>
    <w:rsid w:val="003B3D26"/>
    <w:rsid w:val="003B447C"/>
    <w:rsid w:val="003C26AB"/>
    <w:rsid w:val="003C2F3D"/>
    <w:rsid w:val="003C363A"/>
    <w:rsid w:val="003C583D"/>
    <w:rsid w:val="003C590F"/>
    <w:rsid w:val="003D1644"/>
    <w:rsid w:val="003E2EE9"/>
    <w:rsid w:val="003E323F"/>
    <w:rsid w:val="003F01CF"/>
    <w:rsid w:val="003F3997"/>
    <w:rsid w:val="003F4409"/>
    <w:rsid w:val="003F4602"/>
    <w:rsid w:val="004005AA"/>
    <w:rsid w:val="00402716"/>
    <w:rsid w:val="004031DF"/>
    <w:rsid w:val="004031EA"/>
    <w:rsid w:val="00404503"/>
    <w:rsid w:val="00412759"/>
    <w:rsid w:val="004130EA"/>
    <w:rsid w:val="00413554"/>
    <w:rsid w:val="00414C71"/>
    <w:rsid w:val="0041605F"/>
    <w:rsid w:val="004209E9"/>
    <w:rsid w:val="0042475D"/>
    <w:rsid w:val="0042507F"/>
    <w:rsid w:val="004259CF"/>
    <w:rsid w:val="00426A77"/>
    <w:rsid w:val="00427E64"/>
    <w:rsid w:val="00430FF4"/>
    <w:rsid w:val="004316F7"/>
    <w:rsid w:val="004344E0"/>
    <w:rsid w:val="0043618D"/>
    <w:rsid w:val="00440561"/>
    <w:rsid w:val="004407FA"/>
    <w:rsid w:val="0044184A"/>
    <w:rsid w:val="00443F52"/>
    <w:rsid w:val="00445368"/>
    <w:rsid w:val="0045406D"/>
    <w:rsid w:val="00460C75"/>
    <w:rsid w:val="0046275D"/>
    <w:rsid w:val="00467237"/>
    <w:rsid w:val="0047192F"/>
    <w:rsid w:val="00472897"/>
    <w:rsid w:val="00472DC9"/>
    <w:rsid w:val="00475083"/>
    <w:rsid w:val="004757A4"/>
    <w:rsid w:val="004759CB"/>
    <w:rsid w:val="004779C4"/>
    <w:rsid w:val="004804AE"/>
    <w:rsid w:val="00482E74"/>
    <w:rsid w:val="00487A5A"/>
    <w:rsid w:val="00492AFA"/>
    <w:rsid w:val="00495670"/>
    <w:rsid w:val="0049662B"/>
    <w:rsid w:val="004A62C9"/>
    <w:rsid w:val="004B0D4D"/>
    <w:rsid w:val="004B1652"/>
    <w:rsid w:val="004B1D6B"/>
    <w:rsid w:val="004B4818"/>
    <w:rsid w:val="004B6DF8"/>
    <w:rsid w:val="004C0DBF"/>
    <w:rsid w:val="004C4A24"/>
    <w:rsid w:val="004D1BEB"/>
    <w:rsid w:val="004D47A9"/>
    <w:rsid w:val="004D7ED1"/>
    <w:rsid w:val="004E13D5"/>
    <w:rsid w:val="004E1B90"/>
    <w:rsid w:val="004E239D"/>
    <w:rsid w:val="004E5BDC"/>
    <w:rsid w:val="004F16FA"/>
    <w:rsid w:val="004F31EE"/>
    <w:rsid w:val="004F31FE"/>
    <w:rsid w:val="004F342E"/>
    <w:rsid w:val="004F4057"/>
    <w:rsid w:val="00503D9A"/>
    <w:rsid w:val="0050476F"/>
    <w:rsid w:val="00511426"/>
    <w:rsid w:val="00511766"/>
    <w:rsid w:val="005205B0"/>
    <w:rsid w:val="00527548"/>
    <w:rsid w:val="005309DB"/>
    <w:rsid w:val="0053366C"/>
    <w:rsid w:val="00535DA9"/>
    <w:rsid w:val="00541C55"/>
    <w:rsid w:val="005445B0"/>
    <w:rsid w:val="005463CC"/>
    <w:rsid w:val="00546A14"/>
    <w:rsid w:val="00553DE9"/>
    <w:rsid w:val="005550A5"/>
    <w:rsid w:val="005607F1"/>
    <w:rsid w:val="00560DD8"/>
    <w:rsid w:val="005615B0"/>
    <w:rsid w:val="005638E0"/>
    <w:rsid w:val="00571601"/>
    <w:rsid w:val="0057365A"/>
    <w:rsid w:val="00573D6B"/>
    <w:rsid w:val="00576294"/>
    <w:rsid w:val="005819E2"/>
    <w:rsid w:val="00587C39"/>
    <w:rsid w:val="00593B28"/>
    <w:rsid w:val="00594E5C"/>
    <w:rsid w:val="005A726E"/>
    <w:rsid w:val="005C05AD"/>
    <w:rsid w:val="005C6285"/>
    <w:rsid w:val="005D164A"/>
    <w:rsid w:val="005D1EF5"/>
    <w:rsid w:val="005D24E5"/>
    <w:rsid w:val="005D25F0"/>
    <w:rsid w:val="005E546C"/>
    <w:rsid w:val="005F124B"/>
    <w:rsid w:val="005F1670"/>
    <w:rsid w:val="005F4546"/>
    <w:rsid w:val="005F5196"/>
    <w:rsid w:val="005F72EB"/>
    <w:rsid w:val="006003F6"/>
    <w:rsid w:val="00603DF8"/>
    <w:rsid w:val="00605E6F"/>
    <w:rsid w:val="006118FE"/>
    <w:rsid w:val="00611B2F"/>
    <w:rsid w:val="0061291C"/>
    <w:rsid w:val="00613C13"/>
    <w:rsid w:val="0062067E"/>
    <w:rsid w:val="00621B4E"/>
    <w:rsid w:val="006220D3"/>
    <w:rsid w:val="006221FA"/>
    <w:rsid w:val="00623141"/>
    <w:rsid w:val="00626801"/>
    <w:rsid w:val="00634923"/>
    <w:rsid w:val="00635D9D"/>
    <w:rsid w:val="0064254E"/>
    <w:rsid w:val="006435F6"/>
    <w:rsid w:val="0064484C"/>
    <w:rsid w:val="00644E5D"/>
    <w:rsid w:val="0065224C"/>
    <w:rsid w:val="006526A2"/>
    <w:rsid w:val="00655F43"/>
    <w:rsid w:val="00661E5F"/>
    <w:rsid w:val="00662100"/>
    <w:rsid w:val="006714C0"/>
    <w:rsid w:val="00674B67"/>
    <w:rsid w:val="0067713F"/>
    <w:rsid w:val="006810C6"/>
    <w:rsid w:val="00681C57"/>
    <w:rsid w:val="00682216"/>
    <w:rsid w:val="0069040E"/>
    <w:rsid w:val="00692309"/>
    <w:rsid w:val="00694774"/>
    <w:rsid w:val="006958CD"/>
    <w:rsid w:val="00696F43"/>
    <w:rsid w:val="00696FC3"/>
    <w:rsid w:val="00697DB4"/>
    <w:rsid w:val="006A0B0B"/>
    <w:rsid w:val="006A4793"/>
    <w:rsid w:val="006A6638"/>
    <w:rsid w:val="006B06D7"/>
    <w:rsid w:val="006C0719"/>
    <w:rsid w:val="006C0990"/>
    <w:rsid w:val="006C5898"/>
    <w:rsid w:val="006C7BD6"/>
    <w:rsid w:val="006D1447"/>
    <w:rsid w:val="006D1FDE"/>
    <w:rsid w:val="006D3E4E"/>
    <w:rsid w:val="006D65A9"/>
    <w:rsid w:val="006D67AF"/>
    <w:rsid w:val="006E00FA"/>
    <w:rsid w:val="006E5B92"/>
    <w:rsid w:val="006E65E3"/>
    <w:rsid w:val="006E7DEE"/>
    <w:rsid w:val="006F77D8"/>
    <w:rsid w:val="00700050"/>
    <w:rsid w:val="00705540"/>
    <w:rsid w:val="007066EE"/>
    <w:rsid w:val="00710D7D"/>
    <w:rsid w:val="00712DDA"/>
    <w:rsid w:val="0072021B"/>
    <w:rsid w:val="0072130A"/>
    <w:rsid w:val="007224FF"/>
    <w:rsid w:val="007231CF"/>
    <w:rsid w:val="0072400F"/>
    <w:rsid w:val="0072531E"/>
    <w:rsid w:val="00727FC5"/>
    <w:rsid w:val="007405F5"/>
    <w:rsid w:val="007416CF"/>
    <w:rsid w:val="00744D00"/>
    <w:rsid w:val="007476DC"/>
    <w:rsid w:val="00751873"/>
    <w:rsid w:val="00753AF9"/>
    <w:rsid w:val="00753F0B"/>
    <w:rsid w:val="00765E00"/>
    <w:rsid w:val="007669AA"/>
    <w:rsid w:val="007721ED"/>
    <w:rsid w:val="00773C77"/>
    <w:rsid w:val="00774A27"/>
    <w:rsid w:val="00774ACD"/>
    <w:rsid w:val="007909F1"/>
    <w:rsid w:val="00790ECE"/>
    <w:rsid w:val="007927B3"/>
    <w:rsid w:val="00797BC7"/>
    <w:rsid w:val="007A330A"/>
    <w:rsid w:val="007B43A8"/>
    <w:rsid w:val="007C0F1F"/>
    <w:rsid w:val="007C54B5"/>
    <w:rsid w:val="007D3C73"/>
    <w:rsid w:val="007D543F"/>
    <w:rsid w:val="007E1C61"/>
    <w:rsid w:val="007E2266"/>
    <w:rsid w:val="007E2295"/>
    <w:rsid w:val="007E6934"/>
    <w:rsid w:val="007E7CA5"/>
    <w:rsid w:val="007F161C"/>
    <w:rsid w:val="007F3E9D"/>
    <w:rsid w:val="00800333"/>
    <w:rsid w:val="008004F5"/>
    <w:rsid w:val="00802B35"/>
    <w:rsid w:val="00810438"/>
    <w:rsid w:val="008105A2"/>
    <w:rsid w:val="00812F01"/>
    <w:rsid w:val="00813327"/>
    <w:rsid w:val="0081362C"/>
    <w:rsid w:val="00815EBB"/>
    <w:rsid w:val="00820761"/>
    <w:rsid w:val="0082558E"/>
    <w:rsid w:val="00825BEE"/>
    <w:rsid w:val="0082677D"/>
    <w:rsid w:val="00832A3E"/>
    <w:rsid w:val="008337C2"/>
    <w:rsid w:val="00834A8F"/>
    <w:rsid w:val="00837D6B"/>
    <w:rsid w:val="00840D9F"/>
    <w:rsid w:val="00842134"/>
    <w:rsid w:val="00843A43"/>
    <w:rsid w:val="00844239"/>
    <w:rsid w:val="00846C26"/>
    <w:rsid w:val="0085486E"/>
    <w:rsid w:val="008556A5"/>
    <w:rsid w:val="00856F7B"/>
    <w:rsid w:val="00857DBE"/>
    <w:rsid w:val="00860A37"/>
    <w:rsid w:val="00861A15"/>
    <w:rsid w:val="008673EB"/>
    <w:rsid w:val="00867A13"/>
    <w:rsid w:val="00871779"/>
    <w:rsid w:val="008803EB"/>
    <w:rsid w:val="008828AA"/>
    <w:rsid w:val="00882CA9"/>
    <w:rsid w:val="00884880"/>
    <w:rsid w:val="00891CE9"/>
    <w:rsid w:val="008925DD"/>
    <w:rsid w:val="008929C1"/>
    <w:rsid w:val="00896518"/>
    <w:rsid w:val="008969DD"/>
    <w:rsid w:val="00897531"/>
    <w:rsid w:val="008A1994"/>
    <w:rsid w:val="008A4C6F"/>
    <w:rsid w:val="008A56DD"/>
    <w:rsid w:val="008A5E2F"/>
    <w:rsid w:val="008A6684"/>
    <w:rsid w:val="008A6A0C"/>
    <w:rsid w:val="008B7840"/>
    <w:rsid w:val="008C03AE"/>
    <w:rsid w:val="008C4507"/>
    <w:rsid w:val="008D0A60"/>
    <w:rsid w:val="008D4E2A"/>
    <w:rsid w:val="008D544E"/>
    <w:rsid w:val="008D718A"/>
    <w:rsid w:val="008E1EB8"/>
    <w:rsid w:val="008E6F25"/>
    <w:rsid w:val="008F046C"/>
    <w:rsid w:val="008F1106"/>
    <w:rsid w:val="008F2EAC"/>
    <w:rsid w:val="008F3720"/>
    <w:rsid w:val="008F384B"/>
    <w:rsid w:val="008F659C"/>
    <w:rsid w:val="008F70A4"/>
    <w:rsid w:val="009025C7"/>
    <w:rsid w:val="00905836"/>
    <w:rsid w:val="00911B32"/>
    <w:rsid w:val="00916E4F"/>
    <w:rsid w:val="00921136"/>
    <w:rsid w:val="00922586"/>
    <w:rsid w:val="0092446E"/>
    <w:rsid w:val="00930D07"/>
    <w:rsid w:val="0093103A"/>
    <w:rsid w:val="00931AF4"/>
    <w:rsid w:val="00936A78"/>
    <w:rsid w:val="0094041D"/>
    <w:rsid w:val="009426D3"/>
    <w:rsid w:val="00942EB5"/>
    <w:rsid w:val="009446DA"/>
    <w:rsid w:val="00944753"/>
    <w:rsid w:val="00946A70"/>
    <w:rsid w:val="00952512"/>
    <w:rsid w:val="00955B60"/>
    <w:rsid w:val="00962F74"/>
    <w:rsid w:val="00963C63"/>
    <w:rsid w:val="00965033"/>
    <w:rsid w:val="00965407"/>
    <w:rsid w:val="009703F8"/>
    <w:rsid w:val="009722BB"/>
    <w:rsid w:val="00977F99"/>
    <w:rsid w:val="009815F2"/>
    <w:rsid w:val="00983CAF"/>
    <w:rsid w:val="00987DD3"/>
    <w:rsid w:val="009943D1"/>
    <w:rsid w:val="00994EAE"/>
    <w:rsid w:val="009960E7"/>
    <w:rsid w:val="00996B81"/>
    <w:rsid w:val="00997542"/>
    <w:rsid w:val="009A2579"/>
    <w:rsid w:val="009A2A3E"/>
    <w:rsid w:val="009A2BE3"/>
    <w:rsid w:val="009A4635"/>
    <w:rsid w:val="009A4FBB"/>
    <w:rsid w:val="009A5399"/>
    <w:rsid w:val="009A6BAC"/>
    <w:rsid w:val="009B03B1"/>
    <w:rsid w:val="009B1241"/>
    <w:rsid w:val="009B22F5"/>
    <w:rsid w:val="009B69DA"/>
    <w:rsid w:val="009C0FE4"/>
    <w:rsid w:val="009C6910"/>
    <w:rsid w:val="009C6D81"/>
    <w:rsid w:val="009C7616"/>
    <w:rsid w:val="009D568F"/>
    <w:rsid w:val="009D6964"/>
    <w:rsid w:val="009D6FDF"/>
    <w:rsid w:val="009E20FC"/>
    <w:rsid w:val="009E2CF2"/>
    <w:rsid w:val="009E74C2"/>
    <w:rsid w:val="009E7C33"/>
    <w:rsid w:val="009F2C6C"/>
    <w:rsid w:val="009F5A54"/>
    <w:rsid w:val="009F5F35"/>
    <w:rsid w:val="00A00AF3"/>
    <w:rsid w:val="00A034E0"/>
    <w:rsid w:val="00A04EC5"/>
    <w:rsid w:val="00A0583C"/>
    <w:rsid w:val="00A05CC6"/>
    <w:rsid w:val="00A15144"/>
    <w:rsid w:val="00A15700"/>
    <w:rsid w:val="00A212D5"/>
    <w:rsid w:val="00A2625B"/>
    <w:rsid w:val="00A27CB5"/>
    <w:rsid w:val="00A338B9"/>
    <w:rsid w:val="00A35FAB"/>
    <w:rsid w:val="00A36727"/>
    <w:rsid w:val="00A37E05"/>
    <w:rsid w:val="00A450C3"/>
    <w:rsid w:val="00A45798"/>
    <w:rsid w:val="00A46666"/>
    <w:rsid w:val="00A47FBA"/>
    <w:rsid w:val="00A51241"/>
    <w:rsid w:val="00A51645"/>
    <w:rsid w:val="00A5429E"/>
    <w:rsid w:val="00A57E7E"/>
    <w:rsid w:val="00A63251"/>
    <w:rsid w:val="00A64036"/>
    <w:rsid w:val="00A658B3"/>
    <w:rsid w:val="00A65FB9"/>
    <w:rsid w:val="00A669C9"/>
    <w:rsid w:val="00A76423"/>
    <w:rsid w:val="00A76684"/>
    <w:rsid w:val="00A80866"/>
    <w:rsid w:val="00A8266A"/>
    <w:rsid w:val="00A84F04"/>
    <w:rsid w:val="00A90C8D"/>
    <w:rsid w:val="00A96666"/>
    <w:rsid w:val="00A968B1"/>
    <w:rsid w:val="00A97DC6"/>
    <w:rsid w:val="00AA2C28"/>
    <w:rsid w:val="00AA5289"/>
    <w:rsid w:val="00AA7A67"/>
    <w:rsid w:val="00AB02B1"/>
    <w:rsid w:val="00AB1B38"/>
    <w:rsid w:val="00AB23E6"/>
    <w:rsid w:val="00AB3F6B"/>
    <w:rsid w:val="00AB5B80"/>
    <w:rsid w:val="00AB6510"/>
    <w:rsid w:val="00AB678F"/>
    <w:rsid w:val="00AC1753"/>
    <w:rsid w:val="00AC17B9"/>
    <w:rsid w:val="00AC261B"/>
    <w:rsid w:val="00AC3227"/>
    <w:rsid w:val="00AC3CCA"/>
    <w:rsid w:val="00AC4968"/>
    <w:rsid w:val="00AC53B3"/>
    <w:rsid w:val="00AC6E0C"/>
    <w:rsid w:val="00AD052B"/>
    <w:rsid w:val="00AD2451"/>
    <w:rsid w:val="00AD2E50"/>
    <w:rsid w:val="00AD679D"/>
    <w:rsid w:val="00AE1181"/>
    <w:rsid w:val="00AE2EA1"/>
    <w:rsid w:val="00AE68C3"/>
    <w:rsid w:val="00AF04B9"/>
    <w:rsid w:val="00AF1619"/>
    <w:rsid w:val="00AF2EA2"/>
    <w:rsid w:val="00AF3A43"/>
    <w:rsid w:val="00AF413F"/>
    <w:rsid w:val="00B0339C"/>
    <w:rsid w:val="00B04F0B"/>
    <w:rsid w:val="00B10376"/>
    <w:rsid w:val="00B11390"/>
    <w:rsid w:val="00B130CD"/>
    <w:rsid w:val="00B17199"/>
    <w:rsid w:val="00B224EE"/>
    <w:rsid w:val="00B22E38"/>
    <w:rsid w:val="00B3132F"/>
    <w:rsid w:val="00B356EC"/>
    <w:rsid w:val="00B36C77"/>
    <w:rsid w:val="00B40436"/>
    <w:rsid w:val="00B40523"/>
    <w:rsid w:val="00B43085"/>
    <w:rsid w:val="00B46BA2"/>
    <w:rsid w:val="00B5123C"/>
    <w:rsid w:val="00B60B03"/>
    <w:rsid w:val="00B60E25"/>
    <w:rsid w:val="00B670F1"/>
    <w:rsid w:val="00B727D6"/>
    <w:rsid w:val="00B7563E"/>
    <w:rsid w:val="00B80D52"/>
    <w:rsid w:val="00B849DF"/>
    <w:rsid w:val="00B96AE1"/>
    <w:rsid w:val="00BA0421"/>
    <w:rsid w:val="00BA6459"/>
    <w:rsid w:val="00BA7BFC"/>
    <w:rsid w:val="00BA7CC9"/>
    <w:rsid w:val="00BB151D"/>
    <w:rsid w:val="00BC2A06"/>
    <w:rsid w:val="00BC33B2"/>
    <w:rsid w:val="00BC3C7D"/>
    <w:rsid w:val="00BC4AB7"/>
    <w:rsid w:val="00BC4CC4"/>
    <w:rsid w:val="00BC69F5"/>
    <w:rsid w:val="00BD1C0A"/>
    <w:rsid w:val="00BD426A"/>
    <w:rsid w:val="00BD6EB2"/>
    <w:rsid w:val="00BD7103"/>
    <w:rsid w:val="00BD7D6C"/>
    <w:rsid w:val="00BE2255"/>
    <w:rsid w:val="00BE2F96"/>
    <w:rsid w:val="00BE3613"/>
    <w:rsid w:val="00BE3B77"/>
    <w:rsid w:val="00BE736B"/>
    <w:rsid w:val="00BE78BE"/>
    <w:rsid w:val="00BF0732"/>
    <w:rsid w:val="00BF32DC"/>
    <w:rsid w:val="00BF3796"/>
    <w:rsid w:val="00BF5100"/>
    <w:rsid w:val="00BF77BB"/>
    <w:rsid w:val="00BF78A6"/>
    <w:rsid w:val="00C0237B"/>
    <w:rsid w:val="00C02819"/>
    <w:rsid w:val="00C0351F"/>
    <w:rsid w:val="00C100DC"/>
    <w:rsid w:val="00C118ED"/>
    <w:rsid w:val="00C16E18"/>
    <w:rsid w:val="00C17169"/>
    <w:rsid w:val="00C17A11"/>
    <w:rsid w:val="00C2000D"/>
    <w:rsid w:val="00C21B0D"/>
    <w:rsid w:val="00C21F43"/>
    <w:rsid w:val="00C22BB2"/>
    <w:rsid w:val="00C23AD3"/>
    <w:rsid w:val="00C24925"/>
    <w:rsid w:val="00C2687E"/>
    <w:rsid w:val="00C276EB"/>
    <w:rsid w:val="00C304A4"/>
    <w:rsid w:val="00C325F3"/>
    <w:rsid w:val="00C348B8"/>
    <w:rsid w:val="00C5330D"/>
    <w:rsid w:val="00C55E4A"/>
    <w:rsid w:val="00C6232F"/>
    <w:rsid w:val="00C62E3D"/>
    <w:rsid w:val="00C7610C"/>
    <w:rsid w:val="00C835AD"/>
    <w:rsid w:val="00C839A0"/>
    <w:rsid w:val="00C83FEE"/>
    <w:rsid w:val="00C924F7"/>
    <w:rsid w:val="00C92AEB"/>
    <w:rsid w:val="00CA06A4"/>
    <w:rsid w:val="00CA26EB"/>
    <w:rsid w:val="00CA6C30"/>
    <w:rsid w:val="00CA6F2C"/>
    <w:rsid w:val="00CA7596"/>
    <w:rsid w:val="00CB0D2C"/>
    <w:rsid w:val="00CB437E"/>
    <w:rsid w:val="00CB58EB"/>
    <w:rsid w:val="00CB6375"/>
    <w:rsid w:val="00CC0E2A"/>
    <w:rsid w:val="00CC15AD"/>
    <w:rsid w:val="00CC2EC4"/>
    <w:rsid w:val="00CC3DD1"/>
    <w:rsid w:val="00CC57DF"/>
    <w:rsid w:val="00CD0FA1"/>
    <w:rsid w:val="00CD4DAF"/>
    <w:rsid w:val="00CE0EC9"/>
    <w:rsid w:val="00CE3070"/>
    <w:rsid w:val="00CE30DD"/>
    <w:rsid w:val="00CE3B13"/>
    <w:rsid w:val="00CF1F6D"/>
    <w:rsid w:val="00CF2986"/>
    <w:rsid w:val="00CF29D3"/>
    <w:rsid w:val="00CF30A1"/>
    <w:rsid w:val="00CF5C2F"/>
    <w:rsid w:val="00CF5EF6"/>
    <w:rsid w:val="00CF687A"/>
    <w:rsid w:val="00CF6C28"/>
    <w:rsid w:val="00D01B46"/>
    <w:rsid w:val="00D0497B"/>
    <w:rsid w:val="00D05CA7"/>
    <w:rsid w:val="00D100C6"/>
    <w:rsid w:val="00D11645"/>
    <w:rsid w:val="00D14741"/>
    <w:rsid w:val="00D14A52"/>
    <w:rsid w:val="00D164BB"/>
    <w:rsid w:val="00D25768"/>
    <w:rsid w:val="00D27920"/>
    <w:rsid w:val="00D30EC8"/>
    <w:rsid w:val="00D33AA4"/>
    <w:rsid w:val="00D340B5"/>
    <w:rsid w:val="00D345C5"/>
    <w:rsid w:val="00D34EC3"/>
    <w:rsid w:val="00D35958"/>
    <w:rsid w:val="00D37638"/>
    <w:rsid w:val="00D40BFF"/>
    <w:rsid w:val="00D4108B"/>
    <w:rsid w:val="00D47FF7"/>
    <w:rsid w:val="00D50523"/>
    <w:rsid w:val="00D527D4"/>
    <w:rsid w:val="00D546A4"/>
    <w:rsid w:val="00D556A1"/>
    <w:rsid w:val="00D558BD"/>
    <w:rsid w:val="00D56807"/>
    <w:rsid w:val="00D626A5"/>
    <w:rsid w:val="00D64C0A"/>
    <w:rsid w:val="00D65416"/>
    <w:rsid w:val="00D7281B"/>
    <w:rsid w:val="00D740C1"/>
    <w:rsid w:val="00D74F04"/>
    <w:rsid w:val="00D7533F"/>
    <w:rsid w:val="00D76DE0"/>
    <w:rsid w:val="00D80AF8"/>
    <w:rsid w:val="00D84C1B"/>
    <w:rsid w:val="00D85A8D"/>
    <w:rsid w:val="00D909D4"/>
    <w:rsid w:val="00D941E8"/>
    <w:rsid w:val="00D949C5"/>
    <w:rsid w:val="00D95DFE"/>
    <w:rsid w:val="00DA01A1"/>
    <w:rsid w:val="00DA0CFB"/>
    <w:rsid w:val="00DA5342"/>
    <w:rsid w:val="00DB1FFA"/>
    <w:rsid w:val="00DB2F5C"/>
    <w:rsid w:val="00DB321C"/>
    <w:rsid w:val="00DB5EA8"/>
    <w:rsid w:val="00DB6ADB"/>
    <w:rsid w:val="00DB7D34"/>
    <w:rsid w:val="00DB7FDF"/>
    <w:rsid w:val="00DC0A15"/>
    <w:rsid w:val="00DC0D4E"/>
    <w:rsid w:val="00DC537F"/>
    <w:rsid w:val="00DC605A"/>
    <w:rsid w:val="00DC7C05"/>
    <w:rsid w:val="00DD0EF7"/>
    <w:rsid w:val="00DD184D"/>
    <w:rsid w:val="00DD2F34"/>
    <w:rsid w:val="00DD512A"/>
    <w:rsid w:val="00DE0793"/>
    <w:rsid w:val="00DE18F5"/>
    <w:rsid w:val="00DE743B"/>
    <w:rsid w:val="00DE7634"/>
    <w:rsid w:val="00DF0097"/>
    <w:rsid w:val="00DF10A9"/>
    <w:rsid w:val="00DF2E74"/>
    <w:rsid w:val="00DF45F4"/>
    <w:rsid w:val="00E0341E"/>
    <w:rsid w:val="00E04EEA"/>
    <w:rsid w:val="00E05FCA"/>
    <w:rsid w:val="00E06DBC"/>
    <w:rsid w:val="00E13C37"/>
    <w:rsid w:val="00E140DD"/>
    <w:rsid w:val="00E14C09"/>
    <w:rsid w:val="00E206A1"/>
    <w:rsid w:val="00E21136"/>
    <w:rsid w:val="00E30214"/>
    <w:rsid w:val="00E312EB"/>
    <w:rsid w:val="00E3212D"/>
    <w:rsid w:val="00E33F5F"/>
    <w:rsid w:val="00E347F7"/>
    <w:rsid w:val="00E41CBA"/>
    <w:rsid w:val="00E4203A"/>
    <w:rsid w:val="00E43DD0"/>
    <w:rsid w:val="00E44533"/>
    <w:rsid w:val="00E456C6"/>
    <w:rsid w:val="00E457E9"/>
    <w:rsid w:val="00E5029A"/>
    <w:rsid w:val="00E51D2D"/>
    <w:rsid w:val="00E53090"/>
    <w:rsid w:val="00E5522D"/>
    <w:rsid w:val="00E60378"/>
    <w:rsid w:val="00E65B1D"/>
    <w:rsid w:val="00E71238"/>
    <w:rsid w:val="00E76697"/>
    <w:rsid w:val="00E802A8"/>
    <w:rsid w:val="00E8327B"/>
    <w:rsid w:val="00E86569"/>
    <w:rsid w:val="00E8769C"/>
    <w:rsid w:val="00E905A6"/>
    <w:rsid w:val="00E907E0"/>
    <w:rsid w:val="00E91C99"/>
    <w:rsid w:val="00E97507"/>
    <w:rsid w:val="00EA5A14"/>
    <w:rsid w:val="00EA6513"/>
    <w:rsid w:val="00EA7331"/>
    <w:rsid w:val="00EB1E27"/>
    <w:rsid w:val="00EB3001"/>
    <w:rsid w:val="00EB4847"/>
    <w:rsid w:val="00EB4F70"/>
    <w:rsid w:val="00EB70C3"/>
    <w:rsid w:val="00EC007A"/>
    <w:rsid w:val="00EC20A9"/>
    <w:rsid w:val="00EC450A"/>
    <w:rsid w:val="00ED193B"/>
    <w:rsid w:val="00ED4548"/>
    <w:rsid w:val="00ED594A"/>
    <w:rsid w:val="00ED5BD5"/>
    <w:rsid w:val="00ED7FCF"/>
    <w:rsid w:val="00EE0C59"/>
    <w:rsid w:val="00EE169D"/>
    <w:rsid w:val="00EE27AA"/>
    <w:rsid w:val="00EF4A9E"/>
    <w:rsid w:val="00EF4D39"/>
    <w:rsid w:val="00EF5A62"/>
    <w:rsid w:val="00EF640F"/>
    <w:rsid w:val="00EF7462"/>
    <w:rsid w:val="00EF7954"/>
    <w:rsid w:val="00F03C37"/>
    <w:rsid w:val="00F0580A"/>
    <w:rsid w:val="00F07B42"/>
    <w:rsid w:val="00F10545"/>
    <w:rsid w:val="00F12423"/>
    <w:rsid w:val="00F1279A"/>
    <w:rsid w:val="00F12DB3"/>
    <w:rsid w:val="00F15BC4"/>
    <w:rsid w:val="00F17BB4"/>
    <w:rsid w:val="00F21C07"/>
    <w:rsid w:val="00F246EB"/>
    <w:rsid w:val="00F314BD"/>
    <w:rsid w:val="00F32C8E"/>
    <w:rsid w:val="00F36723"/>
    <w:rsid w:val="00F368F1"/>
    <w:rsid w:val="00F4195C"/>
    <w:rsid w:val="00F45C38"/>
    <w:rsid w:val="00F6037D"/>
    <w:rsid w:val="00F603DE"/>
    <w:rsid w:val="00F6051A"/>
    <w:rsid w:val="00F6239B"/>
    <w:rsid w:val="00F65AAC"/>
    <w:rsid w:val="00F65BD8"/>
    <w:rsid w:val="00F65C65"/>
    <w:rsid w:val="00F67BE4"/>
    <w:rsid w:val="00F710DB"/>
    <w:rsid w:val="00F7221B"/>
    <w:rsid w:val="00F74370"/>
    <w:rsid w:val="00F8228C"/>
    <w:rsid w:val="00F83614"/>
    <w:rsid w:val="00F9006F"/>
    <w:rsid w:val="00F922E1"/>
    <w:rsid w:val="00F94F47"/>
    <w:rsid w:val="00F96A57"/>
    <w:rsid w:val="00F97C4A"/>
    <w:rsid w:val="00FA17A8"/>
    <w:rsid w:val="00FA38A1"/>
    <w:rsid w:val="00FA42FC"/>
    <w:rsid w:val="00FA6423"/>
    <w:rsid w:val="00FA74E8"/>
    <w:rsid w:val="00FB4280"/>
    <w:rsid w:val="00FB63BC"/>
    <w:rsid w:val="00FC29FC"/>
    <w:rsid w:val="00FC3BC5"/>
    <w:rsid w:val="00FC59C7"/>
    <w:rsid w:val="00FC7BEC"/>
    <w:rsid w:val="00FD4C4F"/>
    <w:rsid w:val="00FD6266"/>
    <w:rsid w:val="00FE0A64"/>
    <w:rsid w:val="00FE7927"/>
    <w:rsid w:val="00FF39CF"/>
    <w:rsid w:val="00FF51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C5229"/>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table" w:customStyle="1" w:styleId="1">
    <w:name w:val="شبكة جدول1"/>
    <w:basedOn w:val="TableNormal"/>
    <w:next w:val="TableGrid"/>
    <w:uiPriority w:val="39"/>
    <w:rsid w:val="0028494D"/>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10592">
      <w:bodyDiv w:val="1"/>
      <w:marLeft w:val="0"/>
      <w:marRight w:val="0"/>
      <w:marTop w:val="0"/>
      <w:marBottom w:val="0"/>
      <w:divBdr>
        <w:top w:val="none" w:sz="0" w:space="0" w:color="auto"/>
        <w:left w:val="none" w:sz="0" w:space="0" w:color="auto"/>
        <w:bottom w:val="none" w:sz="0" w:space="0" w:color="auto"/>
        <w:right w:val="none" w:sz="0" w:space="0" w:color="auto"/>
      </w:divBdr>
    </w:div>
    <w:div w:id="210730182">
      <w:bodyDiv w:val="1"/>
      <w:marLeft w:val="0"/>
      <w:marRight w:val="0"/>
      <w:marTop w:val="0"/>
      <w:marBottom w:val="0"/>
      <w:divBdr>
        <w:top w:val="none" w:sz="0" w:space="0" w:color="auto"/>
        <w:left w:val="none" w:sz="0" w:space="0" w:color="auto"/>
        <w:bottom w:val="none" w:sz="0" w:space="0" w:color="auto"/>
        <w:right w:val="none" w:sz="0" w:space="0" w:color="auto"/>
      </w:divBdr>
    </w:div>
    <w:div w:id="296034640">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310329303">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19386461">
      <w:bodyDiv w:val="1"/>
      <w:marLeft w:val="0"/>
      <w:marRight w:val="0"/>
      <w:marTop w:val="0"/>
      <w:marBottom w:val="0"/>
      <w:divBdr>
        <w:top w:val="none" w:sz="0" w:space="0" w:color="auto"/>
        <w:left w:val="none" w:sz="0" w:space="0" w:color="auto"/>
        <w:bottom w:val="none" w:sz="0" w:space="0" w:color="auto"/>
        <w:right w:val="none" w:sz="0" w:space="0" w:color="auto"/>
      </w:divBdr>
    </w:div>
    <w:div w:id="1482890583">
      <w:bodyDiv w:val="1"/>
      <w:marLeft w:val="0"/>
      <w:marRight w:val="0"/>
      <w:marTop w:val="0"/>
      <w:marBottom w:val="0"/>
      <w:divBdr>
        <w:top w:val="none" w:sz="0" w:space="0" w:color="auto"/>
        <w:left w:val="none" w:sz="0" w:space="0" w:color="auto"/>
        <w:bottom w:val="none" w:sz="0" w:space="0" w:color="auto"/>
        <w:right w:val="none" w:sz="0" w:space="0" w:color="auto"/>
      </w:divBdr>
    </w:div>
    <w:div w:id="1628046648">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1772579991">
      <w:bodyDiv w:val="1"/>
      <w:marLeft w:val="0"/>
      <w:marRight w:val="0"/>
      <w:marTop w:val="0"/>
      <w:marBottom w:val="0"/>
      <w:divBdr>
        <w:top w:val="none" w:sz="0" w:space="0" w:color="auto"/>
        <w:left w:val="none" w:sz="0" w:space="0" w:color="auto"/>
        <w:bottom w:val="none" w:sz="0" w:space="0" w:color="auto"/>
        <w:right w:val="none" w:sz="0" w:space="0" w:color="auto"/>
      </w:divBdr>
    </w:div>
    <w:div w:id="2083789007">
      <w:bodyDiv w:val="1"/>
      <w:marLeft w:val="0"/>
      <w:marRight w:val="0"/>
      <w:marTop w:val="0"/>
      <w:marBottom w:val="0"/>
      <w:divBdr>
        <w:top w:val="none" w:sz="0" w:space="0" w:color="auto"/>
        <w:left w:val="none" w:sz="0" w:space="0" w:color="auto"/>
        <w:bottom w:val="none" w:sz="0" w:space="0" w:color="auto"/>
        <w:right w:val="none" w:sz="0" w:space="0" w:color="auto"/>
      </w:divBdr>
    </w:div>
    <w:div w:id="208826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0A6E0-FF9D-4902-AB70-9D59BB2A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7</Pages>
  <Words>2010</Words>
  <Characters>11463</Characters>
  <Application>Microsoft Office Word</Application>
  <DocSecurity>0</DocSecurity>
  <Lines>95</Lines>
  <Paragraphs>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12</cp:revision>
  <cp:lastPrinted>2026-06-16T04:07:00Z</cp:lastPrinted>
  <dcterms:created xsi:type="dcterms:W3CDTF">2026-05-11T08:34:00Z</dcterms:created>
  <dcterms:modified xsi:type="dcterms:W3CDTF">2026-06-16T04:11:00Z</dcterms:modified>
</cp:coreProperties>
</file>